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D9B7E" w14:textId="77777777" w:rsidR="0059034B" w:rsidRDefault="0059034B" w:rsidP="0059034B">
      <w:pPr>
        <w:ind w:firstLine="709"/>
        <w:rPr>
          <w:b/>
          <w:sz w:val="40"/>
          <w:szCs w:val="40"/>
        </w:rPr>
      </w:pPr>
      <w:bookmarkStart w:id="0" w:name="_GoBack"/>
      <w:bookmarkEnd w:id="0"/>
      <w:r w:rsidRPr="00AB7E9F">
        <w:rPr>
          <w:noProof/>
        </w:rPr>
        <w:drawing>
          <wp:inline distT="0" distB="0" distL="0" distR="0" wp14:anchorId="1D79F098" wp14:editId="6A0FBCFA">
            <wp:extent cx="4587240" cy="1310640"/>
            <wp:effectExtent l="0" t="0" r="3810" b="3810"/>
            <wp:docPr id="1" name="Picture 1" descr="2012-11-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11-21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7240" cy="1310640"/>
                    </a:xfrm>
                    <a:prstGeom prst="rect">
                      <a:avLst/>
                    </a:prstGeom>
                    <a:noFill/>
                    <a:ln>
                      <a:noFill/>
                    </a:ln>
                  </pic:spPr>
                </pic:pic>
              </a:graphicData>
            </a:graphic>
          </wp:inline>
        </w:drawing>
      </w:r>
    </w:p>
    <w:p w14:paraId="1E831315" w14:textId="77777777" w:rsidR="00D93601" w:rsidRPr="004543BF" w:rsidRDefault="0059034B" w:rsidP="00520D13">
      <w:pPr>
        <w:rPr>
          <w:b/>
          <w:sz w:val="40"/>
          <w:szCs w:val="40"/>
        </w:rPr>
      </w:pPr>
      <w:r>
        <w:rPr>
          <w:b/>
          <w:sz w:val="40"/>
          <w:szCs w:val="40"/>
        </w:rPr>
        <w:t xml:space="preserve"> </w:t>
      </w:r>
      <w:r w:rsidR="00021348" w:rsidRPr="004543BF">
        <w:rPr>
          <w:b/>
          <w:sz w:val="40"/>
          <w:szCs w:val="40"/>
        </w:rPr>
        <w:t>FOIL’s Focus</w:t>
      </w:r>
      <w:r w:rsidR="00507F50" w:rsidRPr="004543BF">
        <w:rPr>
          <w:b/>
          <w:sz w:val="40"/>
          <w:szCs w:val="40"/>
        </w:rPr>
        <w:t xml:space="preserve"> for</w:t>
      </w:r>
      <w:r w:rsidR="0092257B" w:rsidRPr="004543BF">
        <w:rPr>
          <w:b/>
          <w:sz w:val="40"/>
          <w:szCs w:val="40"/>
        </w:rPr>
        <w:t xml:space="preserve"> 20</w:t>
      </w:r>
      <w:r w:rsidR="00D13715" w:rsidRPr="004543BF">
        <w:rPr>
          <w:b/>
          <w:sz w:val="40"/>
          <w:szCs w:val="40"/>
        </w:rPr>
        <w:t>1</w:t>
      </w:r>
      <w:r w:rsidR="007D31E0">
        <w:rPr>
          <w:b/>
          <w:sz w:val="40"/>
          <w:szCs w:val="40"/>
        </w:rPr>
        <w:t>9</w:t>
      </w:r>
    </w:p>
    <w:p w14:paraId="257FCC18" w14:textId="77777777" w:rsidR="00D963F5" w:rsidRDefault="00D963F5" w:rsidP="00520D13">
      <w:r>
        <w:t>It now seems likely, subject to the all-pervading Brexit timetable that the Civil Liability Bill will become law by the end of 2018 or shortly thereafter. The new Act will form an important part of the reforms which started with Lord Justice Jackson’s report, proceeding through both</w:t>
      </w:r>
      <w:r w:rsidR="001E2531">
        <w:t xml:space="preserve"> LASPO and developments in </w:t>
      </w:r>
      <w:r>
        <w:t xml:space="preserve">the low value claims portal. There is still significant change to come. 2019 will see the laying before parliament of the regulations under which the new whiplash regime will operate, and the development </w:t>
      </w:r>
      <w:r w:rsidR="001E2531">
        <w:t xml:space="preserve">and testing </w:t>
      </w:r>
      <w:r>
        <w:t xml:space="preserve">of the electronic portal: there is </w:t>
      </w:r>
      <w:r w:rsidR="001E2531">
        <w:t>much heavy lifting</w:t>
      </w:r>
      <w:r>
        <w:t xml:space="preserve"> to do on the detail. </w:t>
      </w:r>
      <w:r w:rsidR="00A93AD9">
        <w:t>Government p</w:t>
      </w:r>
      <w:r w:rsidR="00F352AA">
        <w:t xml:space="preserve">roposals on reform of rehabilitation and credit hire are still awaited. </w:t>
      </w:r>
    </w:p>
    <w:p w14:paraId="32C588CA" w14:textId="77777777" w:rsidR="00D963F5" w:rsidRDefault="00D963F5" w:rsidP="00520D13">
      <w:r>
        <w:t xml:space="preserve">Away from low value claims, Brexit casts a long shadow over issues as widespread as Green Cards, </w:t>
      </w:r>
      <w:r w:rsidR="00F352AA">
        <w:t xml:space="preserve">the payment of first party claims outside the UK, cross-border litigation, and local authority procurement. We await the detail of a deal. </w:t>
      </w:r>
      <w:r w:rsidR="009525AE">
        <w:t xml:space="preserve">Technology continues to change the nature of risks and the way claims are handled. </w:t>
      </w:r>
      <w:r w:rsidR="00F352AA">
        <w:t>We await the recommendations from the Grenfell inquiry</w:t>
      </w:r>
      <w:r w:rsidR="001E2531">
        <w:t xml:space="preserve"> </w:t>
      </w:r>
      <w:r w:rsidR="00A93AD9">
        <w:t>and</w:t>
      </w:r>
      <w:r w:rsidR="00F973D2">
        <w:t xml:space="preserve"> the Independent Inquiry into Child Sexual Abuse</w:t>
      </w:r>
      <w:r w:rsidR="00F352AA">
        <w:t xml:space="preserve">. Long running issues such as </w:t>
      </w:r>
      <w:r w:rsidR="00F75714">
        <w:t xml:space="preserve">civil justice reform in Scotland; </w:t>
      </w:r>
      <w:r w:rsidR="00F352AA">
        <w:t xml:space="preserve">the extension of fixed costs; fixed costs and process change in lower value clinical negligence claims; </w:t>
      </w:r>
      <w:r w:rsidR="009525AE">
        <w:t>the introduction of Lord Justice Briggs’ changes to the court structure and the development of the On-line court</w:t>
      </w:r>
      <w:r w:rsidR="001E2531">
        <w:t>,</w:t>
      </w:r>
      <w:r w:rsidR="009525AE">
        <w:t xml:space="preserve"> will continue to be important parts of FOIL’s agenda. </w:t>
      </w:r>
    </w:p>
    <w:p w14:paraId="5F1D7F94" w14:textId="77777777" w:rsidR="009525AE" w:rsidRDefault="009525AE" w:rsidP="00520D13">
      <w:r>
        <w:t>The establishment of London FOIL in 2018 gives FOIL a fresh focus on issues arising in the London Market</w:t>
      </w:r>
      <w:r w:rsidR="00967D22">
        <w:t>, increasing FOIL’</w:t>
      </w:r>
      <w:r w:rsidR="007715E3">
        <w:t xml:space="preserve">s remit in construction, professional </w:t>
      </w:r>
      <w:r w:rsidR="00A94AC6">
        <w:t>indemnity, regulatory law and</w:t>
      </w:r>
      <w:r w:rsidR="007715E3">
        <w:t xml:space="preserve"> property</w:t>
      </w:r>
      <w:r w:rsidR="00A94AC6">
        <w:t>,</w:t>
      </w:r>
      <w:r w:rsidR="007715E3">
        <w:t xml:space="preserve"> and introducing specialist t</w:t>
      </w:r>
      <w:r w:rsidR="001E2531">
        <w:t xml:space="preserve">eams for Cyber &amp; </w:t>
      </w:r>
      <w:r w:rsidR="007715E3">
        <w:t xml:space="preserve">Digital Liabilities, Reinsurance, Energy and Marine &amp; Aviation. </w:t>
      </w:r>
      <w:r w:rsidR="00A93AD9">
        <w:t xml:space="preserve">FOIL will continue to extend its reach into jurisdictions which work closely with, and influence developments in, the UK. </w:t>
      </w:r>
    </w:p>
    <w:p w14:paraId="09B43493" w14:textId="77777777" w:rsidR="009525AE" w:rsidRDefault="009525AE" w:rsidP="00520D13">
      <w:r>
        <w:t xml:space="preserve">As always FOIL’s approach is on detailed examination of the issues, and full engagement in the </w:t>
      </w:r>
      <w:r w:rsidR="007715E3">
        <w:t>r</w:t>
      </w:r>
      <w:r>
        <w:t xml:space="preserve">eform programme and with insurers, both reacting to the proposals put forward and setting a pro-active agenda for change. </w:t>
      </w:r>
    </w:p>
    <w:p w14:paraId="61519CC7" w14:textId="77777777" w:rsidR="00425FC0" w:rsidRPr="008D7A37" w:rsidRDefault="008D7A37" w:rsidP="00520D13">
      <w:pPr>
        <w:rPr>
          <w:b/>
          <w:sz w:val="32"/>
          <w:szCs w:val="32"/>
        </w:rPr>
      </w:pPr>
      <w:r w:rsidRPr="008D7A37">
        <w:rPr>
          <w:b/>
          <w:sz w:val="32"/>
          <w:szCs w:val="32"/>
        </w:rPr>
        <w:t xml:space="preserve">FOIL’s </w:t>
      </w:r>
      <w:r>
        <w:rPr>
          <w:b/>
          <w:sz w:val="32"/>
          <w:szCs w:val="32"/>
        </w:rPr>
        <w:t xml:space="preserve">Technical and Industry </w:t>
      </w:r>
      <w:r w:rsidR="00425FC0" w:rsidRPr="008D7A37">
        <w:rPr>
          <w:b/>
          <w:sz w:val="32"/>
          <w:szCs w:val="32"/>
        </w:rPr>
        <w:t>Focus</w:t>
      </w:r>
    </w:p>
    <w:p w14:paraId="12F87309" w14:textId="77777777" w:rsidR="00CF3072" w:rsidRDefault="00CF3072" w:rsidP="00520D13">
      <w:pPr>
        <w:pStyle w:val="ListParagraph"/>
        <w:numPr>
          <w:ilvl w:val="0"/>
          <w:numId w:val="5"/>
        </w:numPr>
        <w:rPr>
          <w:b/>
        </w:rPr>
      </w:pPr>
      <w:r>
        <w:rPr>
          <w:b/>
        </w:rPr>
        <w:t>The Challenges arising from Brexit</w:t>
      </w:r>
    </w:p>
    <w:p w14:paraId="6061D398" w14:textId="77777777" w:rsidR="00CF3072" w:rsidRPr="002E3A01" w:rsidRDefault="0066090D" w:rsidP="002E3A01">
      <w:pPr>
        <w:pStyle w:val="ListParagraph"/>
        <w:tabs>
          <w:tab w:val="left" w:pos="720"/>
        </w:tabs>
        <w:rPr>
          <w:i/>
        </w:rPr>
      </w:pPr>
      <w:r>
        <w:rPr>
          <w:i/>
        </w:rPr>
        <w:t>With the</w:t>
      </w:r>
      <w:r w:rsidR="007715E3">
        <w:rPr>
          <w:i/>
        </w:rPr>
        <w:t xml:space="preserve"> detail of </w:t>
      </w:r>
      <w:r w:rsidR="007A6CBD" w:rsidRPr="007A6CBD">
        <w:rPr>
          <w:i/>
        </w:rPr>
        <w:t>Brexit still uncertain</w:t>
      </w:r>
      <w:r w:rsidR="001B7211" w:rsidRPr="002E3A01">
        <w:rPr>
          <w:i/>
        </w:rPr>
        <w:t xml:space="preserve">, the nature of the UK’s future relationship with the EU, and the effect of the change upon the UK’s </w:t>
      </w:r>
      <w:r w:rsidR="001F56C4" w:rsidRPr="001F56C4">
        <w:rPr>
          <w:i/>
        </w:rPr>
        <w:t>law and regulation</w:t>
      </w:r>
      <w:r w:rsidR="007A6CBD" w:rsidRPr="00A575A9">
        <w:rPr>
          <w:i/>
        </w:rPr>
        <w:t xml:space="preserve"> and its</w:t>
      </w:r>
      <w:r w:rsidR="001B7211" w:rsidRPr="002E3A01">
        <w:rPr>
          <w:i/>
        </w:rPr>
        <w:t xml:space="preserve"> business environment remains unclear. Leaving the EU represents the biggest change in the UK’s constitutional and legal framework for a generation. </w:t>
      </w:r>
    </w:p>
    <w:p w14:paraId="23FF5852" w14:textId="77777777" w:rsidR="00C106E9" w:rsidRDefault="000D24E2" w:rsidP="002E3A01">
      <w:pPr>
        <w:pStyle w:val="ListParagraph"/>
        <w:numPr>
          <w:ilvl w:val="0"/>
          <w:numId w:val="17"/>
        </w:numPr>
        <w:tabs>
          <w:tab w:val="left" w:pos="720"/>
        </w:tabs>
      </w:pPr>
      <w:r>
        <w:t xml:space="preserve"> </w:t>
      </w:r>
      <w:r w:rsidR="00C106E9">
        <w:t xml:space="preserve">Consideration of the impact of the proposals arising from Brexit on UK law and regulation affecting insurers, the public sector and the claims industry. </w:t>
      </w:r>
    </w:p>
    <w:p w14:paraId="15EBFD0F" w14:textId="77777777" w:rsidR="000D24E2" w:rsidRDefault="000D24E2" w:rsidP="002E3A01">
      <w:pPr>
        <w:pStyle w:val="ListParagraph"/>
        <w:numPr>
          <w:ilvl w:val="0"/>
          <w:numId w:val="17"/>
        </w:numPr>
        <w:tabs>
          <w:tab w:val="left" w:pos="720"/>
        </w:tabs>
      </w:pPr>
      <w:r>
        <w:lastRenderedPageBreak/>
        <w:t>The impact of Brexit on the motor insurance sector.</w:t>
      </w:r>
    </w:p>
    <w:p w14:paraId="1957F5EE" w14:textId="77777777" w:rsidR="001F56C4" w:rsidRPr="002E3A01" w:rsidRDefault="00C106E9" w:rsidP="002E3A01">
      <w:pPr>
        <w:pStyle w:val="ListParagraph"/>
        <w:numPr>
          <w:ilvl w:val="0"/>
          <w:numId w:val="17"/>
        </w:numPr>
        <w:tabs>
          <w:tab w:val="left" w:pos="720"/>
        </w:tabs>
      </w:pPr>
      <w:r>
        <w:t xml:space="preserve"> The identification of opportunities arising from Brexit to improve and reform the current legal and regulatory landscape. </w:t>
      </w:r>
    </w:p>
    <w:p w14:paraId="5E8257E4" w14:textId="77777777" w:rsidR="00CF3072" w:rsidRDefault="00CF3072" w:rsidP="002E3A01">
      <w:pPr>
        <w:pStyle w:val="ListParagraph"/>
        <w:tabs>
          <w:tab w:val="left" w:pos="720"/>
        </w:tabs>
        <w:rPr>
          <w:b/>
        </w:rPr>
      </w:pPr>
    </w:p>
    <w:p w14:paraId="4972BB04" w14:textId="77777777" w:rsidR="00C21E8A" w:rsidRDefault="00FB689D" w:rsidP="00520D13">
      <w:pPr>
        <w:pStyle w:val="ListParagraph"/>
        <w:numPr>
          <w:ilvl w:val="0"/>
          <w:numId w:val="5"/>
        </w:numPr>
        <w:rPr>
          <w:b/>
        </w:rPr>
      </w:pPr>
      <w:r>
        <w:rPr>
          <w:b/>
        </w:rPr>
        <w:t>The reform of the claims process</w:t>
      </w:r>
    </w:p>
    <w:p w14:paraId="517D6597" w14:textId="77777777" w:rsidR="0059034B" w:rsidRPr="0059034B" w:rsidRDefault="007715E3" w:rsidP="0042321D">
      <w:pPr>
        <w:pStyle w:val="ListParagraph"/>
        <w:numPr>
          <w:ilvl w:val="0"/>
          <w:numId w:val="1"/>
        </w:numPr>
        <w:ind w:left="1276" w:hanging="490"/>
      </w:pPr>
      <w:r>
        <w:rPr>
          <w:i/>
        </w:rPr>
        <w:t>The Civil Liability Bill sets out the framework for a new low value civil justice landscape but the detail and the development of the system remains to be delivered. The current review of LASPO Part 2 provides an opportunity to press for nuanced reform on the detail which can have a substantial effect on efficien</w:t>
      </w:r>
      <w:r w:rsidR="00345649">
        <w:rPr>
          <w:i/>
        </w:rPr>
        <w:t>cy</w:t>
      </w:r>
      <w:r>
        <w:rPr>
          <w:i/>
        </w:rPr>
        <w:t xml:space="preserve"> and cost. Work is needed to ensure that all parts of the reform programme work together effectively, deterring fraud and encouraging earl</w:t>
      </w:r>
      <w:r w:rsidR="0059034B">
        <w:rPr>
          <w:i/>
        </w:rPr>
        <w:t>y settlement wherever possible.</w:t>
      </w:r>
    </w:p>
    <w:p w14:paraId="52AF233A" w14:textId="77777777" w:rsidR="00FB689D" w:rsidRDefault="00FB689D" w:rsidP="0042321D">
      <w:pPr>
        <w:pStyle w:val="ListParagraph"/>
        <w:numPr>
          <w:ilvl w:val="0"/>
          <w:numId w:val="1"/>
        </w:numPr>
        <w:ind w:left="1276" w:hanging="490"/>
      </w:pPr>
      <w:r>
        <w:t xml:space="preserve">The </w:t>
      </w:r>
      <w:r w:rsidR="007715E3">
        <w:t xml:space="preserve">introduction and </w:t>
      </w:r>
      <w:r>
        <w:t>development of</w:t>
      </w:r>
      <w:r w:rsidR="007715E3">
        <w:t xml:space="preserve"> regulations and the new electronic </w:t>
      </w:r>
      <w:r w:rsidR="0066090D">
        <w:t>platform for</w:t>
      </w:r>
      <w:r>
        <w:t xml:space="preserve"> lower value </w:t>
      </w:r>
      <w:r w:rsidR="0092257B">
        <w:t>claims</w:t>
      </w:r>
      <w:r w:rsidR="00887253">
        <w:t>.</w:t>
      </w:r>
      <w:r w:rsidR="0092257B">
        <w:t xml:space="preserve"> </w:t>
      </w:r>
    </w:p>
    <w:p w14:paraId="23E74BF4" w14:textId="77777777" w:rsidR="007715E3" w:rsidRDefault="007715E3" w:rsidP="0042321D">
      <w:pPr>
        <w:pStyle w:val="ListParagraph"/>
        <w:numPr>
          <w:ilvl w:val="0"/>
          <w:numId w:val="1"/>
        </w:numPr>
        <w:ind w:left="1276" w:hanging="490"/>
      </w:pPr>
      <w:r>
        <w:t xml:space="preserve">The introduction of new Small Claims Track limits for RTA and EL/PL claims. </w:t>
      </w:r>
    </w:p>
    <w:p w14:paraId="7B5987FC" w14:textId="77777777" w:rsidR="003D4475" w:rsidRDefault="003D4475" w:rsidP="0042321D">
      <w:pPr>
        <w:pStyle w:val="ListParagraph"/>
        <w:numPr>
          <w:ilvl w:val="0"/>
          <w:numId w:val="1"/>
        </w:numPr>
        <w:ind w:left="1276" w:hanging="490"/>
      </w:pPr>
      <w:r>
        <w:t xml:space="preserve">Engagement with the MOJ on reforms arising from the LASPO Part 2 review. </w:t>
      </w:r>
    </w:p>
    <w:p w14:paraId="34C2BF2A" w14:textId="77777777" w:rsidR="00345649" w:rsidRDefault="00345649" w:rsidP="0042321D">
      <w:pPr>
        <w:pStyle w:val="ListParagraph"/>
        <w:numPr>
          <w:ilvl w:val="0"/>
          <w:numId w:val="1"/>
        </w:numPr>
        <w:ind w:left="1276" w:hanging="490"/>
      </w:pPr>
      <w:r>
        <w:t xml:space="preserve">The MOJ response on Part 2 of the whiplash consultation. </w:t>
      </w:r>
    </w:p>
    <w:p w14:paraId="2E2C8866" w14:textId="77777777" w:rsidR="00C106E9" w:rsidRDefault="00C106E9" w:rsidP="0042321D">
      <w:pPr>
        <w:pStyle w:val="ListParagraph"/>
        <w:numPr>
          <w:ilvl w:val="0"/>
          <w:numId w:val="1"/>
        </w:numPr>
        <w:ind w:left="1276" w:hanging="490"/>
      </w:pPr>
      <w:r>
        <w:t xml:space="preserve">Engagement with the reforms arising from Lord Justice Briggs’ Review of the Civil Court structure </w:t>
      </w:r>
      <w:r w:rsidR="0059034B">
        <w:t>including the introduction of the O</w:t>
      </w:r>
      <w:r>
        <w:t>n-line court and changes to the court structure an</w:t>
      </w:r>
      <w:r w:rsidR="00A575A9">
        <w:t>d</w:t>
      </w:r>
      <w:r>
        <w:t xml:space="preserve"> litigation process. </w:t>
      </w:r>
    </w:p>
    <w:p w14:paraId="7D79783C" w14:textId="77777777" w:rsidR="001B24A3" w:rsidRDefault="00363FDF" w:rsidP="0042321D">
      <w:pPr>
        <w:pStyle w:val="ListParagraph"/>
        <w:numPr>
          <w:ilvl w:val="0"/>
          <w:numId w:val="1"/>
        </w:numPr>
        <w:ind w:left="1276" w:hanging="490"/>
      </w:pPr>
      <w:r>
        <w:t xml:space="preserve"> </w:t>
      </w:r>
      <w:r w:rsidR="001B24A3">
        <w:t>A new regime for NIHL claims</w:t>
      </w:r>
      <w:r w:rsidR="00887253">
        <w:t>.</w:t>
      </w:r>
    </w:p>
    <w:p w14:paraId="38068511" w14:textId="77777777" w:rsidR="00FB689D" w:rsidRDefault="0092257B" w:rsidP="0042321D">
      <w:pPr>
        <w:pStyle w:val="ListParagraph"/>
        <w:numPr>
          <w:ilvl w:val="0"/>
          <w:numId w:val="1"/>
        </w:numPr>
        <w:ind w:left="1276" w:hanging="490"/>
      </w:pPr>
      <w:r>
        <w:t xml:space="preserve">Support for the </w:t>
      </w:r>
      <w:r w:rsidR="00FB689D">
        <w:t>S</w:t>
      </w:r>
      <w:r w:rsidR="00C30224">
        <w:t xml:space="preserve">erious </w:t>
      </w:r>
      <w:r w:rsidR="00FB689D">
        <w:t>I</w:t>
      </w:r>
      <w:r w:rsidR="00C30224">
        <w:t xml:space="preserve">njury </w:t>
      </w:r>
      <w:r w:rsidR="00FB689D">
        <w:t>G</w:t>
      </w:r>
      <w:r w:rsidR="00C30224">
        <w:t>uide</w:t>
      </w:r>
      <w:r w:rsidR="00FB689D">
        <w:t xml:space="preserve"> and the Rehabilitation Code</w:t>
      </w:r>
      <w:r w:rsidR="00887253">
        <w:t>.</w:t>
      </w:r>
    </w:p>
    <w:p w14:paraId="6D2BACF9" w14:textId="77777777" w:rsidR="002E3A01" w:rsidRDefault="007715E3" w:rsidP="002E3A01">
      <w:pPr>
        <w:pStyle w:val="ListParagraph"/>
        <w:numPr>
          <w:ilvl w:val="0"/>
          <w:numId w:val="1"/>
        </w:numPr>
        <w:ind w:left="1276" w:hanging="490"/>
      </w:pPr>
      <w:r>
        <w:t xml:space="preserve">The effective introduction of the new FCA regulation </w:t>
      </w:r>
      <w:r w:rsidR="0066090D">
        <w:t>of CMCs</w:t>
      </w:r>
      <w:r w:rsidR="00425FC0">
        <w:t xml:space="preserve"> </w:t>
      </w:r>
      <w:r w:rsidR="0066090D">
        <w:t>to put</w:t>
      </w:r>
      <w:r>
        <w:t xml:space="preserve"> in place </w:t>
      </w:r>
      <w:r w:rsidR="00425FC0">
        <w:t>a tougher regulatory regime and fairer pricing</w:t>
      </w:r>
      <w:r w:rsidR="00887253">
        <w:t>.</w:t>
      </w:r>
    </w:p>
    <w:p w14:paraId="3F97B774" w14:textId="77777777" w:rsidR="00520D13" w:rsidRDefault="00425B22" w:rsidP="002E3A01">
      <w:pPr>
        <w:pStyle w:val="ListParagraph"/>
        <w:numPr>
          <w:ilvl w:val="0"/>
          <w:numId w:val="1"/>
        </w:numPr>
        <w:ind w:left="1276" w:hanging="490"/>
      </w:pPr>
      <w:r>
        <w:t>The use of existing and new methods of ADR to improve claims handling and cut costs</w:t>
      </w:r>
      <w:r w:rsidR="000017EC">
        <w:t xml:space="preserve"> in both low</w:t>
      </w:r>
      <w:r w:rsidR="00363FDF">
        <w:t xml:space="preserve"> value and high value claims</w:t>
      </w:r>
      <w:r>
        <w:t xml:space="preserve">. </w:t>
      </w:r>
    </w:p>
    <w:p w14:paraId="3A65C5AB" w14:textId="77777777" w:rsidR="00887253" w:rsidRDefault="00887253" w:rsidP="00887253">
      <w:pPr>
        <w:pStyle w:val="ListParagraph"/>
        <w:ind w:left="1276"/>
      </w:pPr>
    </w:p>
    <w:p w14:paraId="6D5CF381" w14:textId="77777777" w:rsidR="0080413A" w:rsidRDefault="0080413A" w:rsidP="00520D13">
      <w:pPr>
        <w:pStyle w:val="ListParagraph"/>
        <w:numPr>
          <w:ilvl w:val="0"/>
          <w:numId w:val="5"/>
        </w:numPr>
        <w:rPr>
          <w:b/>
        </w:rPr>
      </w:pPr>
      <w:r>
        <w:rPr>
          <w:b/>
        </w:rPr>
        <w:t>Working closer with clients</w:t>
      </w:r>
    </w:p>
    <w:p w14:paraId="21F69985" w14:textId="77777777" w:rsidR="0080413A" w:rsidRDefault="004B43C5" w:rsidP="0080413A">
      <w:pPr>
        <w:pStyle w:val="ListParagraph"/>
        <w:rPr>
          <w:i/>
        </w:rPr>
      </w:pPr>
      <w:r>
        <w:rPr>
          <w:i/>
        </w:rPr>
        <w:t xml:space="preserve">FOIL members are </w:t>
      </w:r>
      <w:r w:rsidR="0080413A" w:rsidRPr="00D44F94">
        <w:rPr>
          <w:i/>
        </w:rPr>
        <w:t xml:space="preserve">trusted advisors to their </w:t>
      </w:r>
      <w:r w:rsidR="00102936">
        <w:rPr>
          <w:i/>
        </w:rPr>
        <w:t xml:space="preserve">insurer </w:t>
      </w:r>
      <w:r w:rsidR="0080413A" w:rsidRPr="00D44F94">
        <w:rPr>
          <w:i/>
        </w:rPr>
        <w:t xml:space="preserve">clients, </w:t>
      </w:r>
      <w:r w:rsidR="00D44F94">
        <w:rPr>
          <w:i/>
        </w:rPr>
        <w:t>understanding the specialist sectors in which they work</w:t>
      </w:r>
      <w:r w:rsidR="000017EC">
        <w:rPr>
          <w:i/>
        </w:rPr>
        <w:t>,</w:t>
      </w:r>
      <w:r w:rsidR="00D44F94">
        <w:rPr>
          <w:i/>
        </w:rPr>
        <w:t xml:space="preserve"> and </w:t>
      </w:r>
      <w:r w:rsidR="0080413A" w:rsidRPr="00D44F94">
        <w:rPr>
          <w:i/>
        </w:rPr>
        <w:t>advising on issues</w:t>
      </w:r>
      <w:r w:rsidR="00D44F94" w:rsidRPr="00D44F94">
        <w:rPr>
          <w:i/>
        </w:rPr>
        <w:t xml:space="preserve"> affecting </w:t>
      </w:r>
      <w:r w:rsidR="00D44F94">
        <w:rPr>
          <w:i/>
        </w:rPr>
        <w:t xml:space="preserve">business </w:t>
      </w:r>
      <w:r w:rsidR="00D44F94" w:rsidRPr="00D44F94">
        <w:rPr>
          <w:i/>
        </w:rPr>
        <w:t>operations</w:t>
      </w:r>
      <w:r w:rsidR="00D44F94">
        <w:rPr>
          <w:i/>
        </w:rPr>
        <w:t xml:space="preserve"> and practices</w:t>
      </w:r>
      <w:r w:rsidR="00D44F94" w:rsidRPr="00D44F94">
        <w:rPr>
          <w:i/>
        </w:rPr>
        <w:t xml:space="preserve">. </w:t>
      </w:r>
      <w:r w:rsidR="00D44F94">
        <w:rPr>
          <w:i/>
        </w:rPr>
        <w:t>Changes in legislation and case law are creating new challenges for insurers and insured</w:t>
      </w:r>
      <w:r w:rsidR="00102936">
        <w:rPr>
          <w:i/>
        </w:rPr>
        <w:t>s</w:t>
      </w:r>
      <w:r w:rsidR="00D44F94">
        <w:rPr>
          <w:i/>
        </w:rPr>
        <w:t>.</w:t>
      </w:r>
    </w:p>
    <w:p w14:paraId="0C6C4E53" w14:textId="77777777" w:rsidR="004328C9" w:rsidRPr="004328C9" w:rsidRDefault="004328C9" w:rsidP="0042321D">
      <w:pPr>
        <w:pStyle w:val="ListParagraph"/>
        <w:numPr>
          <w:ilvl w:val="0"/>
          <w:numId w:val="16"/>
        </w:numPr>
        <w:ind w:left="1276" w:hanging="425"/>
      </w:pPr>
      <w:r w:rsidRPr="004328C9">
        <w:t xml:space="preserve">The </w:t>
      </w:r>
      <w:r w:rsidR="00363FDF">
        <w:t xml:space="preserve">compulsory motor insurance regime </w:t>
      </w:r>
      <w:r w:rsidR="0059034B">
        <w:t xml:space="preserve"> (including the Green C</w:t>
      </w:r>
      <w:r w:rsidR="000017EC">
        <w:t>ard System)</w:t>
      </w:r>
      <w:r w:rsidR="00887253">
        <w:t xml:space="preserve"> </w:t>
      </w:r>
      <w:r w:rsidR="00C35266">
        <w:t>–</w:t>
      </w:r>
      <w:r w:rsidR="00363FDF">
        <w:t xml:space="preserve"> </w:t>
      </w:r>
      <w:r w:rsidR="00C35266">
        <w:t xml:space="preserve">the </w:t>
      </w:r>
      <w:r w:rsidRPr="004328C9">
        <w:t xml:space="preserve">effect on UK law of the decision in </w:t>
      </w:r>
      <w:r w:rsidRPr="004328C9">
        <w:rPr>
          <w:i/>
        </w:rPr>
        <w:t>Vnuk</w:t>
      </w:r>
      <w:r w:rsidR="00520E17">
        <w:rPr>
          <w:i/>
        </w:rPr>
        <w:t>;</w:t>
      </w:r>
      <w:r w:rsidR="00363FDF">
        <w:rPr>
          <w:i/>
        </w:rPr>
        <w:t xml:space="preserve"> the changes arising from Roadpeace v </w:t>
      </w:r>
      <w:r w:rsidR="00520E17">
        <w:rPr>
          <w:i/>
        </w:rPr>
        <w:t xml:space="preserve">Secretary of State for Transport; and </w:t>
      </w:r>
      <w:r w:rsidR="000E1647">
        <w:rPr>
          <w:i/>
        </w:rPr>
        <w:t>the outcome</w:t>
      </w:r>
      <w:r w:rsidR="00C35266">
        <w:rPr>
          <w:i/>
        </w:rPr>
        <w:t xml:space="preserve"> of </w:t>
      </w:r>
      <w:r w:rsidR="00520E17">
        <w:rPr>
          <w:i/>
        </w:rPr>
        <w:t xml:space="preserve">UK Insurance Limited v R&amp;S Pilling in the Supreme Court. </w:t>
      </w:r>
    </w:p>
    <w:p w14:paraId="320572D0" w14:textId="77777777" w:rsidR="00520E17" w:rsidRDefault="00520E17" w:rsidP="0042321D">
      <w:pPr>
        <w:pStyle w:val="ListParagraph"/>
        <w:numPr>
          <w:ilvl w:val="0"/>
          <w:numId w:val="16"/>
        </w:numPr>
        <w:ind w:left="1276" w:hanging="425"/>
      </w:pPr>
      <w:r>
        <w:t xml:space="preserve">The impact of the Grenfell Tower fire and the work of Dame Judith Hackitt and Sir Martin Moore-Bick on the construction and insurance industries. </w:t>
      </w:r>
    </w:p>
    <w:p w14:paraId="161252EF" w14:textId="77777777" w:rsidR="004328C9" w:rsidRDefault="004328C9" w:rsidP="0042321D">
      <w:pPr>
        <w:pStyle w:val="ListParagraph"/>
        <w:numPr>
          <w:ilvl w:val="0"/>
          <w:numId w:val="16"/>
        </w:numPr>
        <w:ind w:left="1276" w:hanging="425"/>
      </w:pPr>
      <w:r w:rsidRPr="009B28A2">
        <w:t xml:space="preserve">The legal </w:t>
      </w:r>
      <w:r w:rsidR="00520E17">
        <w:t xml:space="preserve">and practical </w:t>
      </w:r>
      <w:r w:rsidRPr="009B28A2">
        <w:t xml:space="preserve">challenges presented by </w:t>
      </w:r>
      <w:r w:rsidR="000017EC">
        <w:t xml:space="preserve">automated and </w:t>
      </w:r>
      <w:r w:rsidRPr="009B28A2">
        <w:t>driverless cars</w:t>
      </w:r>
      <w:r w:rsidR="00C106E9">
        <w:t>.</w:t>
      </w:r>
    </w:p>
    <w:p w14:paraId="5804453C" w14:textId="77777777" w:rsidR="001F29D2" w:rsidRDefault="0059034B" w:rsidP="0042321D">
      <w:pPr>
        <w:pStyle w:val="ListParagraph"/>
        <w:numPr>
          <w:ilvl w:val="0"/>
          <w:numId w:val="16"/>
        </w:numPr>
        <w:ind w:left="1276" w:hanging="425"/>
      </w:pPr>
      <w:r>
        <w:t>O</w:t>
      </w:r>
      <w:r w:rsidR="003D4475">
        <w:t>utcomes from the Independent Inquiry into Child Sexual Abuse – and t</w:t>
      </w:r>
      <w:r>
        <w:t>he challenges arising from</w:t>
      </w:r>
      <w:r w:rsidR="001F29D2">
        <w:t xml:space="preserve"> claims for historical abuse. </w:t>
      </w:r>
    </w:p>
    <w:p w14:paraId="36E0E14B" w14:textId="77777777" w:rsidR="000017EC" w:rsidRPr="009B28A2" w:rsidRDefault="000017EC" w:rsidP="0042321D">
      <w:pPr>
        <w:pStyle w:val="ListParagraph"/>
        <w:numPr>
          <w:ilvl w:val="0"/>
          <w:numId w:val="16"/>
        </w:numPr>
        <w:ind w:left="1276" w:hanging="425"/>
      </w:pPr>
      <w:r>
        <w:t xml:space="preserve">The legal and practical issues arising from GDPR. </w:t>
      </w:r>
    </w:p>
    <w:p w14:paraId="6C2FD38F" w14:textId="77777777" w:rsidR="0080413A" w:rsidRDefault="0080413A" w:rsidP="0080413A">
      <w:pPr>
        <w:pStyle w:val="ListParagraph"/>
        <w:rPr>
          <w:b/>
        </w:rPr>
      </w:pPr>
    </w:p>
    <w:p w14:paraId="01D40293" w14:textId="77777777" w:rsidR="0059034B" w:rsidRDefault="0059034B" w:rsidP="0080413A">
      <w:pPr>
        <w:pStyle w:val="ListParagraph"/>
        <w:rPr>
          <w:b/>
        </w:rPr>
      </w:pPr>
    </w:p>
    <w:p w14:paraId="3D736AFD" w14:textId="77777777" w:rsidR="0059034B" w:rsidRDefault="0059034B" w:rsidP="0080413A">
      <w:pPr>
        <w:pStyle w:val="ListParagraph"/>
        <w:rPr>
          <w:b/>
        </w:rPr>
      </w:pPr>
    </w:p>
    <w:p w14:paraId="0FDC3E7D" w14:textId="77777777" w:rsidR="00F80E9A" w:rsidRDefault="00FB689D" w:rsidP="00520D13">
      <w:pPr>
        <w:pStyle w:val="ListParagraph"/>
        <w:numPr>
          <w:ilvl w:val="0"/>
          <w:numId w:val="5"/>
        </w:numPr>
        <w:rPr>
          <w:b/>
        </w:rPr>
      </w:pPr>
      <w:r>
        <w:rPr>
          <w:b/>
        </w:rPr>
        <w:lastRenderedPageBreak/>
        <w:t>The development of</w:t>
      </w:r>
      <w:r w:rsidR="009B28A2">
        <w:rPr>
          <w:b/>
        </w:rPr>
        <w:t xml:space="preserve"> fixed costs and costs management</w:t>
      </w:r>
    </w:p>
    <w:p w14:paraId="0F55EBF9" w14:textId="77777777" w:rsidR="00C30224" w:rsidRDefault="00C30224" w:rsidP="00C30224">
      <w:pPr>
        <w:pStyle w:val="ListParagraph"/>
        <w:rPr>
          <w:i/>
        </w:rPr>
      </w:pPr>
      <w:r w:rsidRPr="00DE5621">
        <w:rPr>
          <w:i/>
        </w:rPr>
        <w:t>Reforms to the civil litigation costs regime have resulted in legal costs becoming more proportionate and</w:t>
      </w:r>
      <w:r>
        <w:rPr>
          <w:i/>
        </w:rPr>
        <w:t xml:space="preserve"> more controllable but more needs</w:t>
      </w:r>
      <w:r w:rsidRPr="00DE5621">
        <w:rPr>
          <w:i/>
        </w:rPr>
        <w:t xml:space="preserve"> to be don</w:t>
      </w:r>
      <w:r w:rsidR="001B24A3">
        <w:rPr>
          <w:i/>
        </w:rPr>
        <w:t xml:space="preserve">e </w:t>
      </w:r>
      <w:r w:rsidR="00520E17">
        <w:rPr>
          <w:i/>
        </w:rPr>
        <w:t>through the implementation of the</w:t>
      </w:r>
      <w:r w:rsidR="00425FC0">
        <w:rPr>
          <w:i/>
        </w:rPr>
        <w:t xml:space="preserve"> Jackson report on fixed costs </w:t>
      </w:r>
      <w:r w:rsidR="001B24A3">
        <w:rPr>
          <w:i/>
        </w:rPr>
        <w:t xml:space="preserve">and, in cases where costs are not </w:t>
      </w:r>
      <w:r w:rsidR="009B28A2">
        <w:rPr>
          <w:i/>
        </w:rPr>
        <w:t>fixed, effective costs management</w:t>
      </w:r>
      <w:r w:rsidR="001B24A3">
        <w:rPr>
          <w:i/>
        </w:rPr>
        <w:t xml:space="preserve">. </w:t>
      </w:r>
      <w:r w:rsidR="005E3D9B">
        <w:rPr>
          <w:i/>
        </w:rPr>
        <w:t xml:space="preserve">The rules already in place must work as intended. </w:t>
      </w:r>
    </w:p>
    <w:p w14:paraId="6E4A6986" w14:textId="77777777" w:rsidR="001A66D8" w:rsidRDefault="001A66D8" w:rsidP="00D82F2A">
      <w:pPr>
        <w:pStyle w:val="ListParagraph"/>
        <w:numPr>
          <w:ilvl w:val="0"/>
          <w:numId w:val="11"/>
        </w:numPr>
        <w:ind w:left="1276" w:hanging="425"/>
      </w:pPr>
      <w:r>
        <w:t xml:space="preserve">Removal of the anomalies in the current fixed costs regime which undermine its objectives. </w:t>
      </w:r>
    </w:p>
    <w:p w14:paraId="37BF311E" w14:textId="77777777" w:rsidR="001A66D8" w:rsidRPr="005E3D9B" w:rsidRDefault="001A66D8" w:rsidP="002E3A01">
      <w:pPr>
        <w:pStyle w:val="ListParagraph"/>
        <w:numPr>
          <w:ilvl w:val="0"/>
          <w:numId w:val="11"/>
        </w:numPr>
        <w:ind w:hanging="425"/>
      </w:pPr>
      <w:r>
        <w:t xml:space="preserve">Support for and engagement with </w:t>
      </w:r>
      <w:r w:rsidR="00520E17">
        <w:t xml:space="preserve">the implementation of </w:t>
      </w:r>
      <w:r>
        <w:t xml:space="preserve">Lord Justice Jackson’s </w:t>
      </w:r>
      <w:r w:rsidR="00520E17">
        <w:t xml:space="preserve">report on </w:t>
      </w:r>
      <w:r>
        <w:t xml:space="preserve">the extension of fixed costs. </w:t>
      </w:r>
    </w:p>
    <w:p w14:paraId="3CCC140E" w14:textId="77777777" w:rsidR="005E3D9B" w:rsidRPr="005E3D9B" w:rsidRDefault="005E3D9B" w:rsidP="00D82F2A">
      <w:pPr>
        <w:pStyle w:val="ListParagraph"/>
        <w:numPr>
          <w:ilvl w:val="0"/>
          <w:numId w:val="11"/>
        </w:numPr>
        <w:ind w:left="1276" w:hanging="425"/>
      </w:pPr>
      <w:r w:rsidRPr="005E3D9B">
        <w:t>Effective use of costs</w:t>
      </w:r>
      <w:r w:rsidR="000017EC">
        <w:t xml:space="preserve"> and case</w:t>
      </w:r>
      <w:r w:rsidRPr="005E3D9B">
        <w:t xml:space="preserve"> management to control costs pre and post proceedings</w:t>
      </w:r>
    </w:p>
    <w:p w14:paraId="7C2A33D9" w14:textId="77777777" w:rsidR="005E3D9B" w:rsidRDefault="005E3D9B" w:rsidP="00D82F2A">
      <w:pPr>
        <w:pStyle w:val="ListParagraph"/>
        <w:numPr>
          <w:ilvl w:val="0"/>
          <w:numId w:val="11"/>
        </w:numPr>
        <w:ind w:left="1276" w:hanging="425"/>
      </w:pPr>
      <w:r w:rsidRPr="005E3D9B">
        <w:t>The introduction of fixed costs in clinical negligence</w:t>
      </w:r>
      <w:r w:rsidR="00520E17">
        <w:t>, and NIHL claims</w:t>
      </w:r>
      <w:r w:rsidR="000E1647">
        <w:t>.</w:t>
      </w:r>
    </w:p>
    <w:p w14:paraId="7A141912" w14:textId="77777777" w:rsidR="00520E17" w:rsidRPr="005E3D9B" w:rsidRDefault="00520E17" w:rsidP="00D82F2A">
      <w:pPr>
        <w:pStyle w:val="ListParagraph"/>
        <w:numPr>
          <w:ilvl w:val="0"/>
          <w:numId w:val="11"/>
        </w:numPr>
        <w:ind w:left="1276" w:hanging="425"/>
      </w:pPr>
      <w:r>
        <w:t xml:space="preserve">The honing of the Part 36 regime to drive appropriate behaviour and support proportionality. </w:t>
      </w:r>
    </w:p>
    <w:p w14:paraId="7012B083" w14:textId="77777777" w:rsidR="00520D13" w:rsidRDefault="00520D13" w:rsidP="00520D13">
      <w:pPr>
        <w:pStyle w:val="ListParagraph"/>
      </w:pPr>
    </w:p>
    <w:p w14:paraId="180A7DDD" w14:textId="77777777" w:rsidR="00520D13" w:rsidRDefault="001B24A3" w:rsidP="00520D13">
      <w:pPr>
        <w:pStyle w:val="ListParagraph"/>
        <w:numPr>
          <w:ilvl w:val="0"/>
          <w:numId w:val="5"/>
        </w:numPr>
        <w:rPr>
          <w:b/>
        </w:rPr>
      </w:pPr>
      <w:r>
        <w:rPr>
          <w:b/>
        </w:rPr>
        <w:t>The excessive costs of compensation for financial loss</w:t>
      </w:r>
    </w:p>
    <w:p w14:paraId="658B4CE4" w14:textId="77777777" w:rsidR="005E3D9B" w:rsidRDefault="005E3D9B" w:rsidP="005E3D9B">
      <w:pPr>
        <w:pStyle w:val="ListParagraph"/>
        <w:rPr>
          <w:i/>
        </w:rPr>
      </w:pPr>
      <w:r w:rsidRPr="005E3D9B">
        <w:rPr>
          <w:i/>
        </w:rPr>
        <w:t>The costs associated with claims for financial loss</w:t>
      </w:r>
      <w:r>
        <w:rPr>
          <w:i/>
        </w:rPr>
        <w:t xml:space="preserve"> are in many instances too high, in some cases allowing third</w:t>
      </w:r>
      <w:r w:rsidR="00EF3DBE">
        <w:rPr>
          <w:i/>
        </w:rPr>
        <w:t xml:space="preserve"> party</w:t>
      </w:r>
      <w:r>
        <w:rPr>
          <w:i/>
        </w:rPr>
        <w:t xml:space="preserve"> organisations to profit without benefiting the claimant.</w:t>
      </w:r>
    </w:p>
    <w:p w14:paraId="2C11BD37" w14:textId="77777777" w:rsidR="00520E17" w:rsidRPr="00425FC0" w:rsidRDefault="00520E17" w:rsidP="009B6839">
      <w:pPr>
        <w:pStyle w:val="ListParagraph"/>
        <w:numPr>
          <w:ilvl w:val="0"/>
          <w:numId w:val="21"/>
        </w:numPr>
        <w:ind w:left="1276" w:hanging="425"/>
      </w:pPr>
      <w:r w:rsidRPr="00425FC0">
        <w:t xml:space="preserve">The </w:t>
      </w:r>
      <w:r w:rsidR="003D4475">
        <w:t xml:space="preserve">implementation </w:t>
      </w:r>
      <w:r w:rsidR="0066090D">
        <w:t xml:space="preserve">of </w:t>
      </w:r>
      <w:r w:rsidR="0066090D" w:rsidRPr="00425FC0">
        <w:t>the</w:t>
      </w:r>
      <w:r w:rsidRPr="00425FC0">
        <w:t xml:space="preserve"> </w:t>
      </w:r>
      <w:r w:rsidR="003D4475">
        <w:t xml:space="preserve">new </w:t>
      </w:r>
      <w:r w:rsidR="0066090D">
        <w:t>regimes in</w:t>
      </w:r>
      <w:r w:rsidR="003D4475">
        <w:t xml:space="preserve"> England and Wales and Scotland </w:t>
      </w:r>
      <w:r w:rsidRPr="00425FC0">
        <w:t>for setting the discount rate.</w:t>
      </w:r>
    </w:p>
    <w:p w14:paraId="3F94C085" w14:textId="77777777" w:rsidR="005E3D9B" w:rsidRPr="0071015B" w:rsidRDefault="0071015B" w:rsidP="0042321D">
      <w:pPr>
        <w:pStyle w:val="ListParagraph"/>
        <w:numPr>
          <w:ilvl w:val="0"/>
          <w:numId w:val="14"/>
        </w:numPr>
        <w:ind w:left="1276" w:hanging="425"/>
      </w:pPr>
      <w:r w:rsidRPr="0071015B">
        <w:t>The excessive cost of replacement vehicles obtained on credit</w:t>
      </w:r>
      <w:r w:rsidR="00B14C69">
        <w:t>.</w:t>
      </w:r>
    </w:p>
    <w:p w14:paraId="48AA8A7A" w14:textId="77777777" w:rsidR="003D4475" w:rsidRDefault="003D4475" w:rsidP="0042321D">
      <w:pPr>
        <w:pStyle w:val="ListParagraph"/>
        <w:numPr>
          <w:ilvl w:val="0"/>
          <w:numId w:val="14"/>
        </w:numPr>
        <w:ind w:left="1276" w:hanging="425"/>
      </w:pPr>
      <w:r>
        <w:t xml:space="preserve">Continued leadership of the cross-industry working group on rehabilitation in lower value claims </w:t>
      </w:r>
    </w:p>
    <w:p w14:paraId="518F5431" w14:textId="77777777" w:rsidR="0071015B" w:rsidRDefault="00887253" w:rsidP="0042321D">
      <w:pPr>
        <w:pStyle w:val="ListParagraph"/>
        <w:numPr>
          <w:ilvl w:val="0"/>
          <w:numId w:val="14"/>
        </w:numPr>
        <w:ind w:left="1276" w:hanging="425"/>
      </w:pPr>
      <w:r>
        <w:t>T</w:t>
      </w:r>
      <w:r w:rsidR="0071015B">
        <w:t>he excessive cost of care</w:t>
      </w:r>
      <w:r w:rsidR="003D4475">
        <w:t>, including the implications of Section 2(4) Law Reform (Personal Injuries) Act 1948</w:t>
      </w:r>
      <w:r w:rsidR="00B14C69">
        <w:t>.</w:t>
      </w:r>
    </w:p>
    <w:p w14:paraId="029DCEE5" w14:textId="77777777" w:rsidR="0059034B" w:rsidRDefault="0059034B" w:rsidP="0059034B">
      <w:pPr>
        <w:pStyle w:val="ListParagraph"/>
        <w:ind w:left="1276"/>
      </w:pPr>
    </w:p>
    <w:p w14:paraId="7B16DAAA" w14:textId="77777777" w:rsidR="00696C14" w:rsidRPr="00696C14" w:rsidRDefault="00DF213F" w:rsidP="00696C14">
      <w:pPr>
        <w:pStyle w:val="ListParagraph"/>
        <w:numPr>
          <w:ilvl w:val="0"/>
          <w:numId w:val="5"/>
        </w:numPr>
      </w:pPr>
      <w:r w:rsidRPr="00696C14">
        <w:rPr>
          <w:b/>
        </w:rPr>
        <w:t xml:space="preserve">The challenge of </w:t>
      </w:r>
      <w:r w:rsidR="001A66D8" w:rsidRPr="00696C14">
        <w:rPr>
          <w:b/>
        </w:rPr>
        <w:t xml:space="preserve"> technological change</w:t>
      </w:r>
      <w:r w:rsidR="00967D22">
        <w:rPr>
          <w:b/>
        </w:rPr>
        <w:t xml:space="preserve"> and innovation</w:t>
      </w:r>
    </w:p>
    <w:p w14:paraId="36CFA3CC" w14:textId="77777777" w:rsidR="003D4475" w:rsidRDefault="00BC7C30" w:rsidP="0066090D">
      <w:pPr>
        <w:pStyle w:val="ListParagraph"/>
      </w:pPr>
      <w:r w:rsidRPr="00696C14">
        <w:rPr>
          <w:i/>
        </w:rPr>
        <w:t>Te</w:t>
      </w:r>
      <w:r w:rsidR="001A66D8" w:rsidRPr="00696C14">
        <w:rPr>
          <w:i/>
        </w:rPr>
        <w:t xml:space="preserve">chnological </w:t>
      </w:r>
      <w:r w:rsidR="00967D22">
        <w:rPr>
          <w:i/>
        </w:rPr>
        <w:t xml:space="preserve">and medical </w:t>
      </w:r>
      <w:r w:rsidR="001A66D8" w:rsidRPr="00696C14">
        <w:rPr>
          <w:i/>
        </w:rPr>
        <w:t xml:space="preserve">developments </w:t>
      </w:r>
      <w:r w:rsidRPr="00696C14">
        <w:rPr>
          <w:i/>
        </w:rPr>
        <w:t xml:space="preserve">transforming day to day life and business in the UK are already here and will develop apace over the next five years, requiring significant legal changes and a fresh </w:t>
      </w:r>
      <w:r w:rsidR="00425B22" w:rsidRPr="00696C14">
        <w:rPr>
          <w:i/>
        </w:rPr>
        <w:t xml:space="preserve">professional and </w:t>
      </w:r>
      <w:r w:rsidRPr="00696C14">
        <w:rPr>
          <w:i/>
        </w:rPr>
        <w:t>business response.</w:t>
      </w:r>
      <w:r w:rsidR="00696C14">
        <w:rPr>
          <w:i/>
        </w:rPr>
        <w:t xml:space="preserve"> </w:t>
      </w:r>
    </w:p>
    <w:p w14:paraId="56CB9336" w14:textId="77777777" w:rsidR="001F29D2" w:rsidRDefault="001F29D2" w:rsidP="009F4911">
      <w:pPr>
        <w:pStyle w:val="ListParagraph"/>
        <w:numPr>
          <w:ilvl w:val="0"/>
          <w:numId w:val="20"/>
        </w:numPr>
      </w:pPr>
      <w:r>
        <w:t xml:space="preserve">The development and application of AI and digital working. </w:t>
      </w:r>
    </w:p>
    <w:p w14:paraId="5ADB711B" w14:textId="77777777" w:rsidR="00BC7C30" w:rsidRDefault="00BC7C30" w:rsidP="009F4911">
      <w:pPr>
        <w:pStyle w:val="ListParagraph"/>
        <w:numPr>
          <w:ilvl w:val="0"/>
          <w:numId w:val="20"/>
        </w:numPr>
      </w:pPr>
      <w:r>
        <w:t xml:space="preserve">The legal and regulatory challenges presented by the development of autonomous </w:t>
      </w:r>
      <w:r w:rsidR="000017EC">
        <w:t xml:space="preserve">and driverless </w:t>
      </w:r>
      <w:r>
        <w:t>vehicles.</w:t>
      </w:r>
    </w:p>
    <w:p w14:paraId="2F8F07A1" w14:textId="77777777" w:rsidR="00BC7C30" w:rsidRDefault="00BC7C30" w:rsidP="002E3A01">
      <w:pPr>
        <w:pStyle w:val="ListParagraph"/>
        <w:numPr>
          <w:ilvl w:val="0"/>
          <w:numId w:val="19"/>
        </w:numPr>
      </w:pPr>
      <w:r>
        <w:t>The development and growth of cyber cover.</w:t>
      </w:r>
    </w:p>
    <w:p w14:paraId="1D2477C5" w14:textId="77777777" w:rsidR="00BC7C30" w:rsidRDefault="00BC7C30" w:rsidP="002E3A01">
      <w:pPr>
        <w:pStyle w:val="ListParagraph"/>
        <w:numPr>
          <w:ilvl w:val="0"/>
          <w:numId w:val="19"/>
        </w:numPr>
      </w:pPr>
      <w:r>
        <w:t>The use of technology to address insurance fraud</w:t>
      </w:r>
      <w:r w:rsidR="00604435">
        <w:t>.</w:t>
      </w:r>
    </w:p>
    <w:p w14:paraId="1B137099" w14:textId="77777777" w:rsidR="00BC7C30" w:rsidRDefault="00425B22" w:rsidP="002E3A01">
      <w:pPr>
        <w:pStyle w:val="ListParagraph"/>
        <w:numPr>
          <w:ilvl w:val="0"/>
          <w:numId w:val="19"/>
        </w:numPr>
      </w:pPr>
      <w:r>
        <w:t>Meeting the needs of the mill</w:t>
      </w:r>
      <w:r w:rsidR="00BC7C30">
        <w:t>ennial generation.</w:t>
      </w:r>
    </w:p>
    <w:p w14:paraId="53D3619E" w14:textId="77777777" w:rsidR="00BC7C30" w:rsidRDefault="00BD7037" w:rsidP="002E3A01">
      <w:pPr>
        <w:pStyle w:val="ListParagraph"/>
        <w:numPr>
          <w:ilvl w:val="0"/>
          <w:numId w:val="19"/>
        </w:numPr>
      </w:pPr>
      <w:r>
        <w:t xml:space="preserve">The use of technology </w:t>
      </w:r>
      <w:r w:rsidR="001F29D2">
        <w:t>to improve the outcome for seriously injured claimants.</w:t>
      </w:r>
    </w:p>
    <w:p w14:paraId="6F54C18A" w14:textId="77777777" w:rsidR="0059034B" w:rsidRDefault="00967D22" w:rsidP="002E3A01">
      <w:pPr>
        <w:pStyle w:val="ListParagraph"/>
        <w:numPr>
          <w:ilvl w:val="0"/>
          <w:numId w:val="19"/>
        </w:numPr>
      </w:pPr>
      <w:r>
        <w:t xml:space="preserve">The challenges of claims for immunotherapy. </w:t>
      </w:r>
    </w:p>
    <w:p w14:paraId="2191AE7D" w14:textId="77777777" w:rsidR="001F29D2" w:rsidRDefault="00967D22" w:rsidP="002E3A01">
      <w:pPr>
        <w:pStyle w:val="ListParagraph"/>
        <w:numPr>
          <w:ilvl w:val="0"/>
          <w:numId w:val="19"/>
        </w:numPr>
      </w:pPr>
      <w:r>
        <w:t xml:space="preserve"> </w:t>
      </w:r>
      <w:r w:rsidR="001F29D2">
        <w:t xml:space="preserve">The evolving nature of product risks. </w:t>
      </w:r>
    </w:p>
    <w:p w14:paraId="6CDFC5DA" w14:textId="77777777" w:rsidR="00BC7C30" w:rsidRPr="002E3A01" w:rsidRDefault="00BC7C30" w:rsidP="002E3A01">
      <w:pPr>
        <w:pStyle w:val="ListParagraph"/>
        <w:ind w:left="1440"/>
      </w:pPr>
    </w:p>
    <w:p w14:paraId="5FB6313B" w14:textId="77777777" w:rsidR="00520D13" w:rsidRPr="00696C14" w:rsidRDefault="00520D13" w:rsidP="00696C14">
      <w:pPr>
        <w:pStyle w:val="ListParagraph"/>
        <w:numPr>
          <w:ilvl w:val="0"/>
          <w:numId w:val="5"/>
        </w:numPr>
        <w:rPr>
          <w:b/>
        </w:rPr>
      </w:pPr>
      <w:r w:rsidRPr="00696C14">
        <w:rPr>
          <w:b/>
        </w:rPr>
        <w:t>Tackling fraud</w:t>
      </w:r>
    </w:p>
    <w:p w14:paraId="6B8B9A25" w14:textId="77777777" w:rsidR="0040368E" w:rsidRPr="00DE5621" w:rsidRDefault="0040368E" w:rsidP="0040368E">
      <w:pPr>
        <w:pStyle w:val="ListParagraph"/>
        <w:rPr>
          <w:i/>
        </w:rPr>
      </w:pPr>
      <w:r w:rsidRPr="00DE5621">
        <w:rPr>
          <w:i/>
        </w:rPr>
        <w:t>Fraudule</w:t>
      </w:r>
      <w:r w:rsidR="00CE33EC" w:rsidRPr="00DE5621">
        <w:rPr>
          <w:i/>
        </w:rPr>
        <w:t xml:space="preserve">nt and exaggerated claims corrupt the civil justice system </w:t>
      </w:r>
      <w:r w:rsidRPr="00DE5621">
        <w:rPr>
          <w:i/>
        </w:rPr>
        <w:t xml:space="preserve">and </w:t>
      </w:r>
      <w:r w:rsidR="00EE67FD" w:rsidRPr="00DE5621">
        <w:rPr>
          <w:i/>
        </w:rPr>
        <w:t xml:space="preserve">impact </w:t>
      </w:r>
      <w:r w:rsidR="00CE33EC" w:rsidRPr="00DE5621">
        <w:rPr>
          <w:i/>
        </w:rPr>
        <w:t xml:space="preserve">adversely </w:t>
      </w:r>
      <w:r w:rsidR="00EE67FD" w:rsidRPr="00DE5621">
        <w:rPr>
          <w:i/>
        </w:rPr>
        <w:t xml:space="preserve">on insurance premiums and public expenditure. Fraud must be identified and dealt with wherever it occurs. </w:t>
      </w:r>
    </w:p>
    <w:p w14:paraId="65A564FE" w14:textId="77777777" w:rsidR="00520D13" w:rsidRPr="00520D13" w:rsidRDefault="00121F40" w:rsidP="0042321D">
      <w:pPr>
        <w:pStyle w:val="ListParagraph"/>
        <w:numPr>
          <w:ilvl w:val="0"/>
          <w:numId w:val="8"/>
        </w:numPr>
        <w:tabs>
          <w:tab w:val="left" w:pos="1276"/>
        </w:tabs>
        <w:ind w:left="709" w:firstLine="142"/>
      </w:pPr>
      <w:r>
        <w:t xml:space="preserve">Supporting the </w:t>
      </w:r>
      <w:r w:rsidR="009D7F03">
        <w:t xml:space="preserve">continued </w:t>
      </w:r>
      <w:r>
        <w:t>d</w:t>
      </w:r>
      <w:r w:rsidR="00520D13" w:rsidRPr="00520D13">
        <w:t>evelopment and extension of MedCo</w:t>
      </w:r>
      <w:r w:rsidR="00B14C69">
        <w:t>.</w:t>
      </w:r>
    </w:p>
    <w:p w14:paraId="15203F50" w14:textId="77777777" w:rsidR="00520D13" w:rsidRDefault="00520D13" w:rsidP="0042321D">
      <w:pPr>
        <w:pStyle w:val="ListParagraph"/>
        <w:numPr>
          <w:ilvl w:val="0"/>
          <w:numId w:val="8"/>
        </w:numPr>
        <w:tabs>
          <w:tab w:val="left" w:pos="1276"/>
        </w:tabs>
        <w:ind w:left="709" w:firstLine="142"/>
      </w:pPr>
      <w:r w:rsidRPr="00520D13">
        <w:lastRenderedPageBreak/>
        <w:t xml:space="preserve">Effective use of “fundamental dishonesty” </w:t>
      </w:r>
      <w:r w:rsidR="00121F40">
        <w:t xml:space="preserve">provisions, </w:t>
      </w:r>
      <w:r w:rsidRPr="00520D13">
        <w:t>to include exaggeration</w:t>
      </w:r>
      <w:r w:rsidR="00B14C69">
        <w:t>.</w:t>
      </w:r>
    </w:p>
    <w:p w14:paraId="1129AE24" w14:textId="77777777" w:rsidR="00967D22" w:rsidRPr="00520D13" w:rsidRDefault="00967D22" w:rsidP="0042321D">
      <w:pPr>
        <w:pStyle w:val="ListParagraph"/>
        <w:numPr>
          <w:ilvl w:val="0"/>
          <w:numId w:val="8"/>
        </w:numPr>
        <w:tabs>
          <w:tab w:val="left" w:pos="1276"/>
        </w:tabs>
        <w:ind w:left="709" w:firstLine="142"/>
      </w:pPr>
      <w:r>
        <w:t>The use of publicity and social media to deter and tackle fraud</w:t>
      </w:r>
    </w:p>
    <w:p w14:paraId="070A58E6" w14:textId="77777777" w:rsidR="00520D13" w:rsidRDefault="00520D13" w:rsidP="0042321D">
      <w:pPr>
        <w:pStyle w:val="ListParagraph"/>
        <w:numPr>
          <w:ilvl w:val="0"/>
          <w:numId w:val="8"/>
        </w:numPr>
        <w:tabs>
          <w:tab w:val="left" w:pos="1276"/>
        </w:tabs>
        <w:ind w:left="709" w:firstLine="142"/>
      </w:pPr>
      <w:r w:rsidRPr="00520D13">
        <w:t>Data protection issues</w:t>
      </w:r>
      <w:r w:rsidR="00A53270">
        <w:t>, in the light of the GDPR</w:t>
      </w:r>
      <w:r w:rsidR="00B14C69">
        <w:t>.</w:t>
      </w:r>
    </w:p>
    <w:p w14:paraId="33011D69" w14:textId="77777777" w:rsidR="003D4475" w:rsidRDefault="00DF213F" w:rsidP="003D4475">
      <w:pPr>
        <w:pStyle w:val="ListParagraph"/>
        <w:numPr>
          <w:ilvl w:val="0"/>
          <w:numId w:val="8"/>
        </w:numPr>
        <w:tabs>
          <w:tab w:val="left" w:pos="1276"/>
        </w:tabs>
        <w:ind w:left="709" w:firstLine="142"/>
      </w:pPr>
      <w:r>
        <w:t>Impl</w:t>
      </w:r>
      <w:r w:rsidR="00B14C69">
        <w:t>ementation of the IFT proposals.</w:t>
      </w:r>
    </w:p>
    <w:p w14:paraId="4CD22547" w14:textId="77777777" w:rsidR="00FB7A39" w:rsidRDefault="00FB7A39" w:rsidP="00FB7A39">
      <w:pPr>
        <w:pStyle w:val="ListParagraph"/>
        <w:tabs>
          <w:tab w:val="left" w:pos="1276"/>
        </w:tabs>
        <w:ind w:left="851"/>
      </w:pPr>
    </w:p>
    <w:p w14:paraId="34ECF05B" w14:textId="77777777" w:rsidR="003D4475" w:rsidRDefault="003D4475" w:rsidP="0066090D">
      <w:pPr>
        <w:pStyle w:val="ListParagraph"/>
        <w:numPr>
          <w:ilvl w:val="0"/>
          <w:numId w:val="5"/>
        </w:numPr>
        <w:tabs>
          <w:tab w:val="left" w:pos="1276"/>
        </w:tabs>
        <w:rPr>
          <w:b/>
        </w:rPr>
      </w:pPr>
      <w:r w:rsidRPr="0066090D">
        <w:rPr>
          <w:b/>
        </w:rPr>
        <w:t xml:space="preserve">London market issues </w:t>
      </w:r>
    </w:p>
    <w:p w14:paraId="00CDAB8E" w14:textId="77777777" w:rsidR="00FB7A39" w:rsidRDefault="00FB7A39">
      <w:pPr>
        <w:pStyle w:val="ListParagraph"/>
        <w:tabs>
          <w:tab w:val="left" w:pos="1276"/>
        </w:tabs>
        <w:ind w:left="928"/>
        <w:rPr>
          <w:i/>
        </w:rPr>
      </w:pPr>
      <w:r w:rsidRPr="00FB7A39">
        <w:rPr>
          <w:i/>
        </w:rPr>
        <w:t xml:space="preserve">Whilst many of the </w:t>
      </w:r>
      <w:r>
        <w:rPr>
          <w:i/>
        </w:rPr>
        <w:t>subjects set out in 1-7 above impact the London market (and the addition of London FOIL seats on the establi</w:t>
      </w:r>
      <w:r w:rsidR="00315123">
        <w:rPr>
          <w:i/>
        </w:rPr>
        <w:t xml:space="preserve">shed </w:t>
      </w:r>
      <w:r>
        <w:rPr>
          <w:i/>
        </w:rPr>
        <w:t>UK SFTs for Property, Construct</w:t>
      </w:r>
      <w:r w:rsidR="00315123">
        <w:rPr>
          <w:i/>
        </w:rPr>
        <w:t>i</w:t>
      </w:r>
      <w:r>
        <w:rPr>
          <w:i/>
        </w:rPr>
        <w:t>on, Professional Indemnit</w:t>
      </w:r>
      <w:r w:rsidR="00315123">
        <w:rPr>
          <w:i/>
        </w:rPr>
        <w:t>y</w:t>
      </w:r>
      <w:r>
        <w:rPr>
          <w:i/>
        </w:rPr>
        <w:t xml:space="preserve"> and Regulatory Law will bring the domestic and the Lond</w:t>
      </w:r>
      <w:r w:rsidR="00315123">
        <w:rPr>
          <w:i/>
        </w:rPr>
        <w:t>o</w:t>
      </w:r>
      <w:r>
        <w:rPr>
          <w:i/>
        </w:rPr>
        <w:t>n markets tog</w:t>
      </w:r>
      <w:r w:rsidR="00315123">
        <w:rPr>
          <w:i/>
        </w:rPr>
        <w:t xml:space="preserve">ether in </w:t>
      </w:r>
      <w:r>
        <w:rPr>
          <w:i/>
        </w:rPr>
        <w:t>th</w:t>
      </w:r>
      <w:r w:rsidR="00315123">
        <w:rPr>
          <w:i/>
        </w:rPr>
        <w:t>ose spaces</w:t>
      </w:r>
      <w:r>
        <w:rPr>
          <w:i/>
        </w:rPr>
        <w:t>), there are numerous discrete subjects that affect the London market part</w:t>
      </w:r>
      <w:r w:rsidR="00315123">
        <w:rPr>
          <w:i/>
        </w:rPr>
        <w:t>icularly</w:t>
      </w:r>
      <w:r>
        <w:rPr>
          <w:i/>
        </w:rPr>
        <w:t>.</w:t>
      </w:r>
    </w:p>
    <w:p w14:paraId="6D3B078D" w14:textId="77777777" w:rsidR="00315123" w:rsidRPr="00CD184B" w:rsidRDefault="00FB7A39" w:rsidP="00315123">
      <w:pPr>
        <w:pStyle w:val="ListParagraph"/>
        <w:numPr>
          <w:ilvl w:val="0"/>
          <w:numId w:val="31"/>
        </w:numPr>
        <w:tabs>
          <w:tab w:val="left" w:pos="1276"/>
        </w:tabs>
      </w:pPr>
      <w:r w:rsidRPr="00CD184B">
        <w:t xml:space="preserve">Reinsurance – much of the cover bought by </w:t>
      </w:r>
      <w:r w:rsidR="00315123" w:rsidRPr="00CD184B">
        <w:t xml:space="preserve">UK insurers is placed in the London market ranging from excess of loss catastrophe cover to facultative and treaty quota share programmes. Where reinsurers are carrying </w:t>
      </w:r>
      <w:r w:rsidR="00BE03B7" w:rsidRPr="00CD184B">
        <w:t>proportionality</w:t>
      </w:r>
      <w:r w:rsidR="00315123" w:rsidRPr="00CD184B">
        <w:t xml:space="preserve"> </w:t>
      </w:r>
      <w:r w:rsidR="00BE03B7" w:rsidRPr="00CD184B">
        <w:t>more</w:t>
      </w:r>
      <w:r w:rsidR="00315123" w:rsidRPr="00CD184B">
        <w:t xml:space="preserve"> </w:t>
      </w:r>
      <w:r w:rsidR="00BE03B7" w:rsidRPr="00CD184B">
        <w:t>of</w:t>
      </w:r>
      <w:r w:rsidR="00315123" w:rsidRPr="00CD184B">
        <w:t xml:space="preserve"> a loss than the </w:t>
      </w:r>
      <w:r w:rsidR="00BE03B7" w:rsidRPr="00CD184B">
        <w:t>fronting</w:t>
      </w:r>
      <w:r w:rsidR="00315123" w:rsidRPr="00CD184B">
        <w:t xml:space="preserve"> insurer, lawyers </w:t>
      </w:r>
      <w:r w:rsidR="00BE03B7" w:rsidRPr="00CD184B">
        <w:t>instructed</w:t>
      </w:r>
      <w:r w:rsidR="00315123" w:rsidRPr="00CD184B">
        <w:t xml:space="preserve"> by the reinsure</w:t>
      </w:r>
      <w:r w:rsidR="00ED1293" w:rsidRPr="00CD184B">
        <w:t>r</w:t>
      </w:r>
      <w:r w:rsidR="00315123" w:rsidRPr="00CD184B">
        <w:t xml:space="preserve"> will be very </w:t>
      </w:r>
      <w:r w:rsidR="00BE03B7" w:rsidRPr="00CD184B">
        <w:t>closely</w:t>
      </w:r>
      <w:r w:rsidR="00315123" w:rsidRPr="00CD184B">
        <w:t xml:space="preserve"> engaged with major </w:t>
      </w:r>
      <w:r w:rsidR="00BE03B7" w:rsidRPr="00CD184B">
        <w:t>claims</w:t>
      </w:r>
      <w:r w:rsidR="00315123" w:rsidRPr="00CD184B">
        <w:t xml:space="preserve"> and </w:t>
      </w:r>
      <w:r w:rsidR="00ED1293" w:rsidRPr="00CD184B">
        <w:t xml:space="preserve">London </w:t>
      </w:r>
      <w:r w:rsidR="00315123" w:rsidRPr="00CD184B">
        <w:t xml:space="preserve">FOIL will be looking at how the processes can be </w:t>
      </w:r>
      <w:r w:rsidR="00BE03B7" w:rsidRPr="00CD184B">
        <w:t>improved</w:t>
      </w:r>
      <w:r w:rsidR="00315123" w:rsidRPr="00CD184B">
        <w:t xml:space="preserve"> and conflicts </w:t>
      </w:r>
      <w:r w:rsidR="00BE03B7" w:rsidRPr="00CD184B">
        <w:t>reduced</w:t>
      </w:r>
      <w:r w:rsidR="00315123" w:rsidRPr="00CD184B">
        <w:t xml:space="preserve">. </w:t>
      </w:r>
    </w:p>
    <w:p w14:paraId="0C9DA96F" w14:textId="77777777" w:rsidR="007E6CF9" w:rsidRPr="00CD184B" w:rsidRDefault="00315123" w:rsidP="007E6CF9">
      <w:pPr>
        <w:pStyle w:val="ListParagraph"/>
        <w:numPr>
          <w:ilvl w:val="0"/>
          <w:numId w:val="31"/>
        </w:numPr>
        <w:tabs>
          <w:tab w:val="left" w:pos="1276"/>
        </w:tabs>
      </w:pPr>
      <w:r w:rsidRPr="00CD184B">
        <w:t xml:space="preserve">The London market Target </w:t>
      </w:r>
      <w:r w:rsidR="00BE03B7" w:rsidRPr="00CD184B">
        <w:t>Operating</w:t>
      </w:r>
      <w:r w:rsidRPr="00CD184B">
        <w:t xml:space="preserve"> Model (TOM) is a major process restructuring project. FOIL members will b</w:t>
      </w:r>
      <w:r w:rsidR="009B3E86" w:rsidRPr="00CD184B">
        <w:t>e</w:t>
      </w:r>
      <w:r w:rsidRPr="00CD184B">
        <w:t xml:space="preserve"> </w:t>
      </w:r>
      <w:r w:rsidR="00BE03B7" w:rsidRPr="00CD184B">
        <w:t>closely</w:t>
      </w:r>
      <w:r w:rsidRPr="00CD184B">
        <w:t xml:space="preserve"> </w:t>
      </w:r>
      <w:r w:rsidR="00BE03B7" w:rsidRPr="00CD184B">
        <w:t>involved</w:t>
      </w:r>
      <w:r w:rsidRPr="00CD184B">
        <w:t xml:space="preserve"> in </w:t>
      </w:r>
      <w:r w:rsidR="00BE03B7" w:rsidRPr="00CD184B">
        <w:t>issues</w:t>
      </w:r>
      <w:r w:rsidRPr="00CD184B">
        <w:t xml:space="preserve"> such </w:t>
      </w:r>
      <w:r w:rsidR="00BE03B7" w:rsidRPr="00CD184B">
        <w:t>as</w:t>
      </w:r>
      <w:r w:rsidRPr="00CD184B">
        <w:t xml:space="preserve"> data ownership. </w:t>
      </w:r>
    </w:p>
    <w:p w14:paraId="1779B40F" w14:textId="77777777" w:rsidR="003D4475" w:rsidRPr="00CD184B" w:rsidRDefault="00BE03B7" w:rsidP="007E6CF9">
      <w:pPr>
        <w:pStyle w:val="ListParagraph"/>
        <w:numPr>
          <w:ilvl w:val="0"/>
          <w:numId w:val="31"/>
        </w:numPr>
        <w:tabs>
          <w:tab w:val="left" w:pos="1276"/>
        </w:tabs>
      </w:pPr>
      <w:r w:rsidRPr="00CD184B">
        <w:t>London</w:t>
      </w:r>
      <w:r w:rsidR="007E6CF9" w:rsidRPr="00CD184B">
        <w:t xml:space="preserve"> FOIL </w:t>
      </w:r>
      <w:r w:rsidRPr="00CD184B">
        <w:t>speci</w:t>
      </w:r>
      <w:r w:rsidR="00ED1293" w:rsidRPr="00CD184B">
        <w:t>fic</w:t>
      </w:r>
      <w:r w:rsidR="007E6CF9" w:rsidRPr="00CD184B">
        <w:t xml:space="preserve"> SFTs are under construction to </w:t>
      </w:r>
      <w:r w:rsidR="00ED1293" w:rsidRPr="00CD184B">
        <w:t>c</w:t>
      </w:r>
      <w:r w:rsidR="007E6CF9" w:rsidRPr="00CD184B">
        <w:t xml:space="preserve">over Marine and Aviation, Energy and </w:t>
      </w:r>
      <w:r w:rsidRPr="00CD184B">
        <w:t>Reinsurance</w:t>
      </w:r>
      <w:r w:rsidR="007E6CF9" w:rsidRPr="00CD184B">
        <w:t>.</w:t>
      </w:r>
    </w:p>
    <w:p w14:paraId="32FD67C9" w14:textId="77777777" w:rsidR="00ED1293" w:rsidRDefault="00ED1293" w:rsidP="00ED1293">
      <w:pPr>
        <w:pStyle w:val="ListParagraph"/>
        <w:tabs>
          <w:tab w:val="left" w:pos="1276"/>
        </w:tabs>
        <w:ind w:left="1695"/>
      </w:pPr>
    </w:p>
    <w:p w14:paraId="3E8356AC" w14:textId="77777777" w:rsidR="008D7A37" w:rsidRPr="008D7A37" w:rsidRDefault="008D7A37" w:rsidP="008D7A37">
      <w:pPr>
        <w:tabs>
          <w:tab w:val="left" w:pos="1276"/>
        </w:tabs>
        <w:rPr>
          <w:b/>
          <w:sz w:val="32"/>
          <w:szCs w:val="32"/>
        </w:rPr>
      </w:pPr>
      <w:r w:rsidRPr="008D7A37">
        <w:rPr>
          <w:b/>
          <w:sz w:val="32"/>
          <w:szCs w:val="32"/>
        </w:rPr>
        <w:t xml:space="preserve">FOIL’s </w:t>
      </w:r>
      <w:r w:rsidR="001C1860">
        <w:rPr>
          <w:b/>
          <w:sz w:val="32"/>
          <w:szCs w:val="32"/>
        </w:rPr>
        <w:t>Market F</w:t>
      </w:r>
      <w:r w:rsidRPr="008D7A37">
        <w:rPr>
          <w:b/>
          <w:sz w:val="32"/>
          <w:szCs w:val="32"/>
        </w:rPr>
        <w:t>ocus.</w:t>
      </w:r>
    </w:p>
    <w:p w14:paraId="4FA0D75B" w14:textId="77777777" w:rsidR="008D7A37" w:rsidRDefault="008D7A37" w:rsidP="008D7A37">
      <w:pPr>
        <w:tabs>
          <w:tab w:val="left" w:pos="1276"/>
        </w:tabs>
      </w:pPr>
      <w:r w:rsidRPr="00122353">
        <w:t>201</w:t>
      </w:r>
      <w:r w:rsidR="00FB7A39">
        <w:t>9</w:t>
      </w:r>
      <w:r w:rsidRPr="00122353">
        <w:t xml:space="preserve"> will be a</w:t>
      </w:r>
      <w:r w:rsidR="00FB7A39">
        <w:t xml:space="preserve">nother </w:t>
      </w:r>
      <w:r w:rsidRPr="00122353">
        <w:t>year of expansion for FOIL</w:t>
      </w:r>
      <w:r>
        <w:t>.</w:t>
      </w:r>
    </w:p>
    <w:p w14:paraId="687293D9" w14:textId="77777777" w:rsidR="007E6CF9" w:rsidRDefault="00FC2B4D" w:rsidP="008D7A37">
      <w:pPr>
        <w:tabs>
          <w:tab w:val="left" w:pos="1276"/>
        </w:tabs>
      </w:pPr>
      <w:r>
        <w:t>Building on our long-</w:t>
      </w:r>
      <w:r w:rsidR="008D7A37">
        <w:t xml:space="preserve">established profile and reputation in the personal injury and liability sectors, we will not only continue to increase the areas of insurance claims law that we cover in the UK market, we will also </w:t>
      </w:r>
      <w:r w:rsidR="007E6CF9">
        <w:t xml:space="preserve">continue to </w:t>
      </w:r>
      <w:r w:rsidR="008D7A37">
        <w:t>expand into other markets and jurisdictions</w:t>
      </w:r>
      <w:r w:rsidR="007E6CF9">
        <w:t xml:space="preserve">, most notably Ireland with </w:t>
      </w:r>
      <w:r w:rsidR="00ED1293">
        <w:t>“</w:t>
      </w:r>
      <w:r w:rsidR="007E6CF9">
        <w:t>FOIL Ireland</w:t>
      </w:r>
      <w:r w:rsidR="00ED1293">
        <w:t>”</w:t>
      </w:r>
      <w:r w:rsidR="007E6CF9">
        <w:t xml:space="preserve"> already drawing interest in that market.</w:t>
      </w:r>
    </w:p>
    <w:p w14:paraId="0E9EEB37" w14:textId="77777777" w:rsidR="008D7A37" w:rsidRDefault="008D7A37" w:rsidP="008D7A37">
      <w:pPr>
        <w:tabs>
          <w:tab w:val="left" w:pos="1276"/>
        </w:tabs>
      </w:pPr>
      <w:r>
        <w:t>At the same time</w:t>
      </w:r>
      <w:r w:rsidR="00ED1293">
        <w:t>,</w:t>
      </w:r>
      <w:r>
        <w:t xml:space="preserve"> we will enrich the range of services offered and deepen our understanding of members’ needs.  </w:t>
      </w:r>
    </w:p>
    <w:p w14:paraId="01B2485E" w14:textId="77777777" w:rsidR="007E6CF9" w:rsidRDefault="007E6CF9" w:rsidP="008D7A37">
      <w:pPr>
        <w:tabs>
          <w:tab w:val="left" w:pos="1276"/>
        </w:tabs>
      </w:pPr>
      <w:r>
        <w:t xml:space="preserve">The 2018 </w:t>
      </w:r>
      <w:r w:rsidR="00BE03B7">
        <w:t>members</w:t>
      </w:r>
      <w:r>
        <w:t xml:space="preserve">’ satisfaction survey </w:t>
      </w:r>
      <w:r w:rsidR="00BE03B7">
        <w:t>revealed</w:t>
      </w:r>
      <w:r>
        <w:t xml:space="preserve"> a less than optimal awareness of all that FOIL </w:t>
      </w:r>
      <w:r w:rsidR="00ED1293">
        <w:t xml:space="preserve">offers to </w:t>
      </w:r>
      <w:r w:rsidR="00BE03B7">
        <w:t>mem</w:t>
      </w:r>
      <w:r w:rsidR="00ED1293">
        <w:t>bers</w:t>
      </w:r>
      <w:r>
        <w:t xml:space="preserve"> and </w:t>
      </w:r>
      <w:r w:rsidR="00BE03B7">
        <w:t>their</w:t>
      </w:r>
      <w:r>
        <w:t xml:space="preserve"> clients and </w:t>
      </w:r>
      <w:r w:rsidR="0097288A">
        <w:t>of the relationships that support FOIL financially. W</w:t>
      </w:r>
      <w:r>
        <w:t xml:space="preserve">e will work </w:t>
      </w:r>
      <w:r w:rsidR="00ED1293">
        <w:t>o</w:t>
      </w:r>
      <w:r>
        <w:t xml:space="preserve">n </w:t>
      </w:r>
      <w:r w:rsidR="00BE03B7">
        <w:t>improving</w:t>
      </w:r>
      <w:r>
        <w:t xml:space="preserve"> that in 2019.</w:t>
      </w:r>
    </w:p>
    <w:p w14:paraId="2F8EF825" w14:textId="77777777" w:rsidR="008D7A37" w:rsidRPr="00612445" w:rsidRDefault="008D7A37" w:rsidP="008D7A37">
      <w:pPr>
        <w:pStyle w:val="ListParagraph"/>
        <w:numPr>
          <w:ilvl w:val="0"/>
          <w:numId w:val="25"/>
        </w:numPr>
        <w:tabs>
          <w:tab w:val="left" w:pos="1276"/>
        </w:tabs>
        <w:spacing w:after="0"/>
        <w:rPr>
          <w:b/>
        </w:rPr>
      </w:pPr>
      <w:r w:rsidRPr="00612445">
        <w:rPr>
          <w:b/>
        </w:rPr>
        <w:t>Extending FOIL’s practice areas</w:t>
      </w:r>
      <w:r>
        <w:rPr>
          <w:b/>
        </w:rPr>
        <w:t>.</w:t>
      </w:r>
    </w:p>
    <w:p w14:paraId="1AD26D8D" w14:textId="77777777" w:rsidR="008D7A37" w:rsidRPr="00612445" w:rsidRDefault="008D7A37" w:rsidP="008D7A37">
      <w:pPr>
        <w:pStyle w:val="ListParagraph"/>
        <w:tabs>
          <w:tab w:val="left" w:pos="1276"/>
        </w:tabs>
        <w:spacing w:after="0"/>
        <w:rPr>
          <w:i/>
        </w:rPr>
      </w:pPr>
      <w:r>
        <w:rPr>
          <w:i/>
        </w:rPr>
        <w:t>FOIL’s corporate members practice in many areas of insurance claims law and as at the start of 201</w:t>
      </w:r>
      <w:r w:rsidR="007E6CF9">
        <w:rPr>
          <w:i/>
        </w:rPr>
        <w:t>9</w:t>
      </w:r>
      <w:r>
        <w:rPr>
          <w:i/>
        </w:rPr>
        <w:t xml:space="preserve">, FOIL already supports lawyers specialising in </w:t>
      </w:r>
      <w:r w:rsidR="007E6CF9">
        <w:rPr>
          <w:i/>
        </w:rPr>
        <w:t>33</w:t>
      </w:r>
      <w:r>
        <w:rPr>
          <w:i/>
        </w:rPr>
        <w:t xml:space="preserve"> different types of insurance claims law</w:t>
      </w:r>
      <w:r w:rsidR="007E6CF9">
        <w:rPr>
          <w:i/>
        </w:rPr>
        <w:t xml:space="preserve"> through the SFT</w:t>
      </w:r>
      <w:r w:rsidR="006B7D59">
        <w:rPr>
          <w:i/>
        </w:rPr>
        <w:t xml:space="preserve"> </w:t>
      </w:r>
      <w:r w:rsidR="00583A19">
        <w:rPr>
          <w:i/>
        </w:rPr>
        <w:t>structure</w:t>
      </w:r>
      <w:r w:rsidR="007E6CF9">
        <w:rPr>
          <w:i/>
        </w:rPr>
        <w:t xml:space="preserve"> including 6 Scotland, 2 Northern Ireland and 3 London FOIL specific teams</w:t>
      </w:r>
      <w:r>
        <w:rPr>
          <w:i/>
        </w:rPr>
        <w:t>. Over the coming months w</w:t>
      </w:r>
      <w:r w:rsidR="00FC2B4D">
        <w:rPr>
          <w:i/>
        </w:rPr>
        <w:t xml:space="preserve">e will </w:t>
      </w:r>
      <w:r w:rsidR="00BE03B7">
        <w:rPr>
          <w:i/>
        </w:rPr>
        <w:t>continue</w:t>
      </w:r>
      <w:r w:rsidR="007E6CF9">
        <w:rPr>
          <w:i/>
        </w:rPr>
        <w:t xml:space="preserve"> to </w:t>
      </w:r>
      <w:r w:rsidR="00FC2B4D">
        <w:rPr>
          <w:i/>
        </w:rPr>
        <w:t>add to this range.</w:t>
      </w:r>
    </w:p>
    <w:p w14:paraId="15C176FE" w14:textId="77777777" w:rsidR="008D7A37" w:rsidRDefault="00FC2B4D" w:rsidP="008D7A37">
      <w:pPr>
        <w:pStyle w:val="ListParagraph"/>
        <w:numPr>
          <w:ilvl w:val="0"/>
          <w:numId w:val="24"/>
        </w:numPr>
      </w:pPr>
      <w:r>
        <w:t>The creation of a new SFT</w:t>
      </w:r>
      <w:r w:rsidR="007E6CF9">
        <w:t xml:space="preserve"> on</w:t>
      </w:r>
      <w:r w:rsidR="0059034B">
        <w:t xml:space="preserve"> Cyber and Digital Liabilities.</w:t>
      </w:r>
      <w:r w:rsidR="007E6CF9">
        <w:t xml:space="preserve"> </w:t>
      </w:r>
      <w:r w:rsidR="008D7A37">
        <w:t xml:space="preserve"> </w:t>
      </w:r>
    </w:p>
    <w:p w14:paraId="39FEADAA" w14:textId="77777777" w:rsidR="008D7A37" w:rsidRDefault="00FC2B4D" w:rsidP="008D7A37">
      <w:pPr>
        <w:pStyle w:val="ListParagraph"/>
        <w:numPr>
          <w:ilvl w:val="0"/>
          <w:numId w:val="24"/>
        </w:numPr>
      </w:pPr>
      <w:r>
        <w:lastRenderedPageBreak/>
        <w:t>T</w:t>
      </w:r>
      <w:r w:rsidR="008D7A37">
        <w:t>he establishment of other SFTs or working parties in response to market developments and members’ requirements.</w:t>
      </w:r>
    </w:p>
    <w:p w14:paraId="7A591FDB" w14:textId="77777777" w:rsidR="008D7A37" w:rsidRDefault="008D7A37" w:rsidP="008D7A37">
      <w:pPr>
        <w:pStyle w:val="ListParagraph"/>
        <w:ind w:left="851"/>
      </w:pPr>
    </w:p>
    <w:p w14:paraId="4828113D" w14:textId="77777777" w:rsidR="008D7A37" w:rsidRPr="00D20A58" w:rsidRDefault="008D7A37" w:rsidP="008D7A37">
      <w:pPr>
        <w:pStyle w:val="ListParagraph"/>
        <w:numPr>
          <w:ilvl w:val="0"/>
          <w:numId w:val="25"/>
        </w:numPr>
        <w:rPr>
          <w:b/>
        </w:rPr>
      </w:pPr>
      <w:r w:rsidRPr="00D20A58">
        <w:rPr>
          <w:b/>
        </w:rPr>
        <w:t>Extending FOIL’s markets</w:t>
      </w:r>
      <w:r>
        <w:rPr>
          <w:b/>
        </w:rPr>
        <w:t>.</w:t>
      </w:r>
    </w:p>
    <w:p w14:paraId="442A3497" w14:textId="77777777" w:rsidR="007E6CF9" w:rsidRDefault="008D7A37" w:rsidP="008D7A37">
      <w:pPr>
        <w:pStyle w:val="ListParagraph"/>
        <w:rPr>
          <w:i/>
        </w:rPr>
      </w:pPr>
      <w:r w:rsidRPr="00381672">
        <w:rPr>
          <w:i/>
        </w:rPr>
        <w:t xml:space="preserve">FOIL operates very effectively in the UK domestic insurance market. Many of </w:t>
      </w:r>
      <w:r>
        <w:rPr>
          <w:i/>
        </w:rPr>
        <w:t xml:space="preserve">our corporate </w:t>
      </w:r>
      <w:r w:rsidRPr="00381672">
        <w:rPr>
          <w:i/>
        </w:rPr>
        <w:t>members are also</w:t>
      </w:r>
      <w:r>
        <w:rPr>
          <w:i/>
        </w:rPr>
        <w:t xml:space="preserve"> </w:t>
      </w:r>
      <w:r w:rsidRPr="00381672">
        <w:rPr>
          <w:i/>
        </w:rPr>
        <w:t>instructed by insure</w:t>
      </w:r>
      <w:r>
        <w:rPr>
          <w:i/>
        </w:rPr>
        <w:t>r</w:t>
      </w:r>
      <w:r w:rsidRPr="00381672">
        <w:rPr>
          <w:i/>
        </w:rPr>
        <w:t>s underw</w:t>
      </w:r>
      <w:r>
        <w:rPr>
          <w:i/>
        </w:rPr>
        <w:t>rit</w:t>
      </w:r>
      <w:r w:rsidRPr="00381672">
        <w:rPr>
          <w:i/>
        </w:rPr>
        <w:t>ing in the Lloyd</w:t>
      </w:r>
      <w:r w:rsidR="00FC2B4D">
        <w:rPr>
          <w:i/>
        </w:rPr>
        <w:t>’</w:t>
      </w:r>
      <w:r w:rsidRPr="00381672">
        <w:rPr>
          <w:i/>
        </w:rPr>
        <w:t>s and London markets</w:t>
      </w:r>
      <w:r>
        <w:rPr>
          <w:i/>
        </w:rPr>
        <w:t xml:space="preserve">. We </w:t>
      </w:r>
      <w:r w:rsidR="007E6CF9">
        <w:rPr>
          <w:i/>
        </w:rPr>
        <w:t xml:space="preserve">have </w:t>
      </w:r>
      <w:r>
        <w:rPr>
          <w:i/>
        </w:rPr>
        <w:t xml:space="preserve"> improve</w:t>
      </w:r>
      <w:r w:rsidR="007E6CF9">
        <w:rPr>
          <w:i/>
        </w:rPr>
        <w:t>d</w:t>
      </w:r>
      <w:r>
        <w:rPr>
          <w:i/>
        </w:rPr>
        <w:t xml:space="preserve"> the value added to existing members</w:t>
      </w:r>
      <w:r w:rsidR="007E6CF9">
        <w:rPr>
          <w:i/>
        </w:rPr>
        <w:t xml:space="preserve"> with a London market practice</w:t>
      </w:r>
      <w:r>
        <w:rPr>
          <w:i/>
        </w:rPr>
        <w:t xml:space="preserve"> and </w:t>
      </w:r>
      <w:r w:rsidR="007E6CF9">
        <w:rPr>
          <w:i/>
        </w:rPr>
        <w:t xml:space="preserve">expect to </w:t>
      </w:r>
      <w:r>
        <w:rPr>
          <w:i/>
        </w:rPr>
        <w:t>attract new members</w:t>
      </w:r>
      <w:r w:rsidR="007E6CF9">
        <w:rPr>
          <w:i/>
        </w:rPr>
        <w:t xml:space="preserve"> in due course </w:t>
      </w:r>
      <w:r w:rsidR="00BE03B7">
        <w:rPr>
          <w:i/>
        </w:rPr>
        <w:t xml:space="preserve">through </w:t>
      </w:r>
      <w:r w:rsidR="007E6CF9">
        <w:rPr>
          <w:i/>
        </w:rPr>
        <w:t>the work of London FOIL</w:t>
      </w:r>
      <w:r w:rsidR="00FC2B4D">
        <w:rPr>
          <w:i/>
        </w:rPr>
        <w:t>.</w:t>
      </w:r>
      <w:r w:rsidR="007E6CF9">
        <w:rPr>
          <w:i/>
        </w:rPr>
        <w:t xml:space="preserve"> </w:t>
      </w:r>
    </w:p>
    <w:p w14:paraId="2230601F" w14:textId="77777777" w:rsidR="008D7A37" w:rsidRPr="00381672" w:rsidRDefault="007E6CF9" w:rsidP="008D7A37">
      <w:pPr>
        <w:pStyle w:val="ListParagraph"/>
        <w:rPr>
          <w:i/>
        </w:rPr>
      </w:pPr>
      <w:r>
        <w:rPr>
          <w:i/>
        </w:rPr>
        <w:t xml:space="preserve">We will also build on the bases </w:t>
      </w:r>
      <w:r w:rsidR="00BE03B7">
        <w:rPr>
          <w:i/>
        </w:rPr>
        <w:t>established</w:t>
      </w:r>
      <w:r>
        <w:rPr>
          <w:i/>
        </w:rPr>
        <w:t xml:space="preserve"> in 2017 and </w:t>
      </w:r>
      <w:r w:rsidR="00BE03B7">
        <w:rPr>
          <w:i/>
        </w:rPr>
        <w:t>‘</w:t>
      </w:r>
      <w:r>
        <w:rPr>
          <w:i/>
        </w:rPr>
        <w:t xml:space="preserve">18 in the </w:t>
      </w:r>
      <w:r w:rsidR="00BE03B7">
        <w:rPr>
          <w:i/>
        </w:rPr>
        <w:t>Channel</w:t>
      </w:r>
      <w:r>
        <w:rPr>
          <w:i/>
        </w:rPr>
        <w:t xml:space="preserve"> </w:t>
      </w:r>
      <w:r w:rsidR="00BE03B7">
        <w:rPr>
          <w:i/>
        </w:rPr>
        <w:t>Islands</w:t>
      </w:r>
      <w:r>
        <w:rPr>
          <w:i/>
        </w:rPr>
        <w:t xml:space="preserve"> and the Isle </w:t>
      </w:r>
      <w:r w:rsidR="00BE03B7">
        <w:rPr>
          <w:i/>
        </w:rPr>
        <w:t>of</w:t>
      </w:r>
      <w:r>
        <w:rPr>
          <w:i/>
        </w:rPr>
        <w:t xml:space="preserve"> Man as well as moving forward with FOIL </w:t>
      </w:r>
      <w:r w:rsidR="00BE03B7">
        <w:rPr>
          <w:i/>
        </w:rPr>
        <w:t>Ireland</w:t>
      </w:r>
      <w:r>
        <w:rPr>
          <w:i/>
        </w:rPr>
        <w:t xml:space="preserve"> for </w:t>
      </w:r>
      <w:r w:rsidR="00BE03B7">
        <w:rPr>
          <w:i/>
        </w:rPr>
        <w:t>law</w:t>
      </w:r>
      <w:r>
        <w:rPr>
          <w:i/>
        </w:rPr>
        <w:t xml:space="preserve"> firms in that </w:t>
      </w:r>
      <w:r w:rsidR="00BE03B7">
        <w:rPr>
          <w:i/>
        </w:rPr>
        <w:t>market.</w:t>
      </w:r>
      <w:r w:rsidR="008D7A37">
        <w:rPr>
          <w:i/>
        </w:rPr>
        <w:t xml:space="preserve"> </w:t>
      </w:r>
      <w:r w:rsidR="008D7A37" w:rsidRPr="00381672">
        <w:rPr>
          <w:i/>
        </w:rPr>
        <w:t xml:space="preserve"> </w:t>
      </w:r>
    </w:p>
    <w:p w14:paraId="34E441E1" w14:textId="77777777" w:rsidR="008D7A37" w:rsidRDefault="00FC2B4D" w:rsidP="008D7A37">
      <w:pPr>
        <w:pStyle w:val="ListParagraph"/>
        <w:numPr>
          <w:ilvl w:val="0"/>
          <w:numId w:val="27"/>
        </w:numPr>
      </w:pPr>
      <w:r>
        <w:t>T</w:t>
      </w:r>
      <w:r w:rsidR="008D7A37" w:rsidRPr="0019190C">
        <w:t xml:space="preserve">he development of services to meet the needs of </w:t>
      </w:r>
      <w:r w:rsidR="008D7A37">
        <w:t xml:space="preserve">law </w:t>
      </w:r>
      <w:r w:rsidR="008D7A37" w:rsidRPr="0019190C">
        <w:t>firms in the London market</w:t>
      </w:r>
      <w:r>
        <w:t>.</w:t>
      </w:r>
      <w:r w:rsidR="008D7A37">
        <w:t xml:space="preserve"> </w:t>
      </w:r>
    </w:p>
    <w:p w14:paraId="33C02C8E" w14:textId="77777777" w:rsidR="008D7A37" w:rsidRDefault="00FC2B4D" w:rsidP="008D7A37">
      <w:pPr>
        <w:pStyle w:val="ListParagraph"/>
        <w:numPr>
          <w:ilvl w:val="0"/>
          <w:numId w:val="27"/>
        </w:numPr>
      </w:pPr>
      <w:r>
        <w:t>A</w:t>
      </w:r>
      <w:r w:rsidR="008D7A37">
        <w:t xml:space="preserve"> much deeper engagement with the insurers that underwrite in those markets.</w:t>
      </w:r>
      <w:r w:rsidR="008D7A37" w:rsidRPr="0019190C">
        <w:t xml:space="preserve"> </w:t>
      </w:r>
    </w:p>
    <w:p w14:paraId="6E7A18ED" w14:textId="77777777" w:rsidR="00C8542C" w:rsidRDefault="00BE03B7" w:rsidP="008D7A37">
      <w:pPr>
        <w:pStyle w:val="ListParagraph"/>
        <w:numPr>
          <w:ilvl w:val="0"/>
          <w:numId w:val="27"/>
        </w:numPr>
      </w:pPr>
      <w:r>
        <w:t>Better promotion of lawyers practising in Ireland, Isle of Man and Channel Islands</w:t>
      </w:r>
    </w:p>
    <w:p w14:paraId="5D1B3807" w14:textId="77777777" w:rsidR="00BE03B7" w:rsidRDefault="00BE03B7" w:rsidP="006B7D59">
      <w:pPr>
        <w:pStyle w:val="ListParagraph"/>
        <w:ind w:left="1440"/>
      </w:pPr>
      <w:r>
        <w:t xml:space="preserve">to FOIL members handling cases in those jurisdictions. </w:t>
      </w:r>
    </w:p>
    <w:p w14:paraId="78414F2A" w14:textId="77777777" w:rsidR="008D7A37" w:rsidRDefault="008D7A37" w:rsidP="008D7A37">
      <w:pPr>
        <w:pStyle w:val="ListParagraph"/>
        <w:tabs>
          <w:tab w:val="left" w:pos="1276"/>
        </w:tabs>
        <w:rPr>
          <w:b/>
        </w:rPr>
      </w:pPr>
    </w:p>
    <w:p w14:paraId="7C86EA4D" w14:textId="77777777" w:rsidR="008D7A37" w:rsidRDefault="008D7A37" w:rsidP="008D7A37">
      <w:pPr>
        <w:pStyle w:val="ListParagraph"/>
        <w:numPr>
          <w:ilvl w:val="0"/>
          <w:numId w:val="25"/>
        </w:numPr>
        <w:tabs>
          <w:tab w:val="left" w:pos="1276"/>
        </w:tabs>
        <w:rPr>
          <w:b/>
        </w:rPr>
      </w:pPr>
      <w:r>
        <w:rPr>
          <w:b/>
        </w:rPr>
        <w:t>Education and Training.</w:t>
      </w:r>
    </w:p>
    <w:p w14:paraId="5ED7897A" w14:textId="77777777" w:rsidR="008D7A37" w:rsidRDefault="008D7A37" w:rsidP="008D7A37">
      <w:pPr>
        <w:pStyle w:val="ListParagraph"/>
        <w:tabs>
          <w:tab w:val="left" w:pos="1276"/>
        </w:tabs>
        <w:rPr>
          <w:b/>
        </w:rPr>
      </w:pPr>
      <w:r>
        <w:rPr>
          <w:i/>
        </w:rPr>
        <w:t>With a business environment involving so much change, being well trained and well-informed has never been more important. FOIL will continue to support its members’ professional developme</w:t>
      </w:r>
      <w:r w:rsidR="00FC2B4D">
        <w:rPr>
          <w:i/>
        </w:rPr>
        <w:t>nt and lifelong learning.</w:t>
      </w:r>
    </w:p>
    <w:p w14:paraId="0DC1F0C1" w14:textId="77777777" w:rsidR="008D7A37" w:rsidRDefault="00FC2B4D" w:rsidP="008D7A37">
      <w:pPr>
        <w:pStyle w:val="ListParagraph"/>
        <w:numPr>
          <w:ilvl w:val="0"/>
          <w:numId w:val="28"/>
        </w:numPr>
      </w:pPr>
      <w:r>
        <w:t>E</w:t>
      </w:r>
      <w:r w:rsidR="008D7A37" w:rsidRPr="00B51949">
        <w:t>ffective continuing education and</w:t>
      </w:r>
      <w:r>
        <w:t xml:space="preserve"> training for insurance lawyers.</w:t>
      </w:r>
    </w:p>
    <w:p w14:paraId="643DD103" w14:textId="77777777" w:rsidR="008D7A37" w:rsidRDefault="00FC2B4D" w:rsidP="008D7A37">
      <w:pPr>
        <w:pStyle w:val="ListParagraph"/>
        <w:numPr>
          <w:ilvl w:val="0"/>
          <w:numId w:val="28"/>
        </w:numPr>
      </w:pPr>
      <w:r>
        <w:t>E</w:t>
      </w:r>
      <w:r w:rsidR="008D7A37">
        <w:t>mbedding the principle of “working to the FOIL Standard” using the FOIL Statement of Competence and the S</w:t>
      </w:r>
      <w:r>
        <w:t>tatements of Legal Knowledge.</w:t>
      </w:r>
      <w:r w:rsidR="008D7A37">
        <w:t xml:space="preserve"> </w:t>
      </w:r>
    </w:p>
    <w:p w14:paraId="32884312" w14:textId="77777777" w:rsidR="006B7D59" w:rsidRDefault="006B7D59" w:rsidP="008D7A37">
      <w:pPr>
        <w:pStyle w:val="ListParagraph"/>
        <w:numPr>
          <w:ilvl w:val="0"/>
          <w:numId w:val="28"/>
        </w:numPr>
      </w:pPr>
      <w:r>
        <w:t>Adding to the number of Statements of Legal Knowledge to mirror the increased range of insurance claims law covered by our SFTs.</w:t>
      </w:r>
    </w:p>
    <w:p w14:paraId="3081E15B" w14:textId="77777777" w:rsidR="006B7D59" w:rsidRDefault="006B7D59" w:rsidP="008D7A37">
      <w:pPr>
        <w:pStyle w:val="ListParagraph"/>
        <w:numPr>
          <w:ilvl w:val="0"/>
          <w:numId w:val="28"/>
        </w:numPr>
      </w:pPr>
      <w:r>
        <w:t xml:space="preserve">Concluding work </w:t>
      </w:r>
      <w:r w:rsidR="0097288A">
        <w:t xml:space="preserve">started by </w:t>
      </w:r>
      <w:r>
        <w:t xml:space="preserve">Scotland and Northern Ireland </w:t>
      </w:r>
      <w:r w:rsidR="0097288A">
        <w:t xml:space="preserve">members </w:t>
      </w:r>
      <w:r>
        <w:t xml:space="preserve">to adapt the FOIL Standard for use in those jurisdictions. </w:t>
      </w:r>
    </w:p>
    <w:p w14:paraId="01AF3568" w14:textId="77777777" w:rsidR="008D7A37" w:rsidRDefault="00FC2B4D" w:rsidP="008D7A37">
      <w:pPr>
        <w:pStyle w:val="ListParagraph"/>
        <w:numPr>
          <w:ilvl w:val="0"/>
          <w:numId w:val="28"/>
        </w:numPr>
      </w:pPr>
      <w:r>
        <w:t>E</w:t>
      </w:r>
      <w:r w:rsidR="008D7A37">
        <w:t>ncouraging all insurers to see the FOIL Standard as a key differentiator for panel review and selection purposes.</w:t>
      </w:r>
    </w:p>
    <w:p w14:paraId="39A085FD" w14:textId="77777777" w:rsidR="008D7A37" w:rsidRPr="00425FC0" w:rsidRDefault="008D7A37" w:rsidP="008D7A37">
      <w:pPr>
        <w:pStyle w:val="ListParagraph"/>
        <w:tabs>
          <w:tab w:val="left" w:pos="1276"/>
        </w:tabs>
        <w:rPr>
          <w:b/>
        </w:rPr>
      </w:pPr>
    </w:p>
    <w:p w14:paraId="5E40FF05" w14:textId="77777777" w:rsidR="008D7A37" w:rsidRDefault="006B7D59" w:rsidP="008D7A37">
      <w:pPr>
        <w:pStyle w:val="ListParagraph"/>
        <w:numPr>
          <w:ilvl w:val="0"/>
          <w:numId w:val="25"/>
        </w:numPr>
        <w:rPr>
          <w:b/>
        </w:rPr>
      </w:pPr>
      <w:r>
        <w:rPr>
          <w:b/>
        </w:rPr>
        <w:t xml:space="preserve">Better promotion of FOIL’s services to </w:t>
      </w:r>
      <w:r w:rsidR="008D7A37" w:rsidRPr="00122353">
        <w:rPr>
          <w:b/>
        </w:rPr>
        <w:t>members</w:t>
      </w:r>
      <w:r>
        <w:rPr>
          <w:b/>
        </w:rPr>
        <w:t xml:space="preserve"> and their clients</w:t>
      </w:r>
      <w:r w:rsidR="008D7A37">
        <w:rPr>
          <w:b/>
        </w:rPr>
        <w:t>.</w:t>
      </w:r>
    </w:p>
    <w:p w14:paraId="7E8457ED" w14:textId="77777777" w:rsidR="006B7D59" w:rsidRPr="00583A19" w:rsidRDefault="006B7D59" w:rsidP="006B7D59">
      <w:pPr>
        <w:pStyle w:val="ListParagraph"/>
        <w:rPr>
          <w:i/>
        </w:rPr>
      </w:pPr>
      <w:r w:rsidRPr="00583A19">
        <w:rPr>
          <w:i/>
        </w:rPr>
        <w:t xml:space="preserve">FOIL offers a wide range of services and </w:t>
      </w:r>
      <w:r w:rsidR="00583A19" w:rsidRPr="00583A19">
        <w:rPr>
          <w:i/>
        </w:rPr>
        <w:t>opportunities</w:t>
      </w:r>
      <w:r w:rsidRPr="00583A19">
        <w:rPr>
          <w:i/>
        </w:rPr>
        <w:t xml:space="preserve"> to </w:t>
      </w:r>
      <w:r w:rsidR="00583A19" w:rsidRPr="00583A19">
        <w:rPr>
          <w:i/>
        </w:rPr>
        <w:t>engage</w:t>
      </w:r>
      <w:r w:rsidRPr="00583A19">
        <w:rPr>
          <w:i/>
        </w:rPr>
        <w:t xml:space="preserve"> </w:t>
      </w:r>
      <w:r w:rsidR="00583A19" w:rsidRPr="00583A19">
        <w:rPr>
          <w:i/>
        </w:rPr>
        <w:t>that are not as widely understood as they sho</w:t>
      </w:r>
      <w:r w:rsidR="00583A19">
        <w:rPr>
          <w:i/>
        </w:rPr>
        <w:t>ul</w:t>
      </w:r>
      <w:r w:rsidR="00583A19" w:rsidRPr="00583A19">
        <w:rPr>
          <w:i/>
        </w:rPr>
        <w:t xml:space="preserve">d be. </w:t>
      </w:r>
    </w:p>
    <w:p w14:paraId="362E1BA1" w14:textId="77777777" w:rsidR="008D7A37" w:rsidRDefault="00583A19" w:rsidP="008D7A37">
      <w:pPr>
        <w:pStyle w:val="ListParagraph"/>
        <w:numPr>
          <w:ilvl w:val="0"/>
          <w:numId w:val="29"/>
        </w:numPr>
      </w:pPr>
      <w:r>
        <w:t>Further a</w:t>
      </w:r>
      <w:r w:rsidR="008D7A37">
        <w:t>nalys</w:t>
      </w:r>
      <w:r w:rsidR="00FC2B4D">
        <w:t xml:space="preserve">is of </w:t>
      </w:r>
      <w:r>
        <w:t xml:space="preserve">the 2018 </w:t>
      </w:r>
      <w:r w:rsidR="00FC2B4D">
        <w:t>online member</w:t>
      </w:r>
      <w:r>
        <w:t>s’</w:t>
      </w:r>
      <w:r w:rsidR="00FC2B4D">
        <w:t xml:space="preserve"> survey.</w:t>
      </w:r>
    </w:p>
    <w:p w14:paraId="21E6C522" w14:textId="77777777" w:rsidR="008D7A37" w:rsidRDefault="00FC2B4D" w:rsidP="008D7A37">
      <w:pPr>
        <w:pStyle w:val="ListParagraph"/>
        <w:numPr>
          <w:ilvl w:val="0"/>
          <w:numId w:val="29"/>
        </w:numPr>
      </w:pPr>
      <w:r>
        <w:t>D</w:t>
      </w:r>
      <w:r w:rsidR="008D7A37">
        <w:t>etailed understanding of website traffic patterns and MailChimp campaign data leading to better understanding of what members actually look for.</w:t>
      </w:r>
    </w:p>
    <w:p w14:paraId="2D25746E" w14:textId="77777777" w:rsidR="00583A19" w:rsidRDefault="00583A19" w:rsidP="008D7A37">
      <w:pPr>
        <w:pStyle w:val="ListParagraph"/>
        <w:numPr>
          <w:ilvl w:val="0"/>
          <w:numId w:val="29"/>
        </w:numPr>
      </w:pPr>
      <w:r>
        <w:t>Creation of a “FOIL Champion” at every member firm who will receive a monthly one page bulletin, summarising all FOIL activity and will promote this within their own firm.</w:t>
      </w:r>
    </w:p>
    <w:p w14:paraId="10F079F4" w14:textId="77777777" w:rsidR="008D7A37" w:rsidRDefault="008D7A37" w:rsidP="008D7A37">
      <w:pPr>
        <w:pStyle w:val="ListParagraph"/>
        <w:ind w:left="1440"/>
      </w:pPr>
    </w:p>
    <w:p w14:paraId="74833EE2" w14:textId="77777777" w:rsidR="008D7A37" w:rsidRPr="00583A19" w:rsidRDefault="008D7A37" w:rsidP="00583A19">
      <w:pPr>
        <w:pStyle w:val="ListParagraph"/>
        <w:numPr>
          <w:ilvl w:val="0"/>
          <w:numId w:val="25"/>
        </w:numPr>
        <w:rPr>
          <w:b/>
        </w:rPr>
      </w:pPr>
      <w:r w:rsidRPr="00583A19">
        <w:rPr>
          <w:b/>
        </w:rPr>
        <w:t>Supporting our members’ business needs and helping them to meet the same challenges that face other business sectors.</w:t>
      </w:r>
    </w:p>
    <w:p w14:paraId="6A105B9C" w14:textId="77777777" w:rsidR="008D7A37" w:rsidRPr="00D20A58" w:rsidRDefault="008D7A37" w:rsidP="008D7A37">
      <w:pPr>
        <w:pStyle w:val="ListParagraph"/>
        <w:rPr>
          <w:i/>
        </w:rPr>
      </w:pPr>
      <w:r>
        <w:rPr>
          <w:i/>
        </w:rPr>
        <w:t xml:space="preserve">FOIL is able to provide forums for engagement between member businesses dealing with similar economic and regulatory challenges to help ensure that they are fully informed. This can be achieved through </w:t>
      </w:r>
    </w:p>
    <w:p w14:paraId="10976516" w14:textId="77777777" w:rsidR="008D7A37" w:rsidRDefault="00583A19" w:rsidP="008D7A37">
      <w:pPr>
        <w:pStyle w:val="ListParagraph"/>
        <w:numPr>
          <w:ilvl w:val="0"/>
          <w:numId w:val="30"/>
        </w:numPr>
      </w:pPr>
      <w:r>
        <w:lastRenderedPageBreak/>
        <w:t xml:space="preserve">Using our convening power to create </w:t>
      </w:r>
      <w:r w:rsidR="008D7A37">
        <w:t>working part</w:t>
      </w:r>
      <w:r>
        <w:t>ies</w:t>
      </w:r>
      <w:r w:rsidR="00FC2B4D">
        <w:t>.</w:t>
      </w:r>
    </w:p>
    <w:p w14:paraId="1B0DC8AC" w14:textId="77777777" w:rsidR="008D7A37" w:rsidRDefault="00FC2B4D" w:rsidP="008D7A37">
      <w:pPr>
        <w:pStyle w:val="ListParagraph"/>
        <w:numPr>
          <w:ilvl w:val="0"/>
          <w:numId w:val="30"/>
        </w:numPr>
      </w:pPr>
      <w:r>
        <w:t>G</w:t>
      </w:r>
      <w:r w:rsidR="008D7A37">
        <w:t>re</w:t>
      </w:r>
      <w:r>
        <w:t>ater engagement with the SRA.</w:t>
      </w:r>
    </w:p>
    <w:p w14:paraId="7AD8337D" w14:textId="77777777" w:rsidR="008D7A37" w:rsidRDefault="00FC2B4D" w:rsidP="008D7A37">
      <w:pPr>
        <w:pStyle w:val="ListParagraph"/>
        <w:numPr>
          <w:ilvl w:val="0"/>
          <w:numId w:val="30"/>
        </w:numPr>
      </w:pPr>
      <w:r>
        <w:t>P</w:t>
      </w:r>
      <w:r w:rsidR="008D7A37">
        <w:t>roviding insight into the ways in which disruptive technology and AI are changing business.</w:t>
      </w:r>
    </w:p>
    <w:p w14:paraId="533C4DC7" w14:textId="77777777" w:rsidR="0097288A" w:rsidRDefault="0097288A" w:rsidP="0097288A">
      <w:pPr>
        <w:pStyle w:val="ListParagraph"/>
        <w:ind w:left="1440"/>
      </w:pPr>
    </w:p>
    <w:p w14:paraId="4B809F70" w14:textId="77777777" w:rsidR="0097288A" w:rsidRDefault="0097288A" w:rsidP="0097288A">
      <w:pPr>
        <w:pStyle w:val="ListParagraph"/>
        <w:numPr>
          <w:ilvl w:val="0"/>
          <w:numId w:val="25"/>
        </w:numPr>
        <w:rPr>
          <w:b/>
        </w:rPr>
      </w:pPr>
      <w:r w:rsidRPr="0097288A">
        <w:rPr>
          <w:b/>
        </w:rPr>
        <w:t>Optimising alternative revenue sources</w:t>
      </w:r>
      <w:r>
        <w:rPr>
          <w:b/>
        </w:rPr>
        <w:t>.</w:t>
      </w:r>
    </w:p>
    <w:p w14:paraId="207164DB" w14:textId="77777777" w:rsidR="0097288A" w:rsidRPr="0097288A" w:rsidRDefault="0097288A" w:rsidP="0097288A">
      <w:pPr>
        <w:pStyle w:val="ListParagraph"/>
        <w:rPr>
          <w:i/>
        </w:rPr>
      </w:pPr>
      <w:r w:rsidRPr="0097288A">
        <w:rPr>
          <w:i/>
        </w:rPr>
        <w:t>FOIL’s finances are finely balanced and the relationships that we have with sponsors and trade an</w:t>
      </w:r>
      <w:r w:rsidR="00CD184B">
        <w:rPr>
          <w:i/>
        </w:rPr>
        <w:t>d</w:t>
      </w:r>
      <w:r w:rsidRPr="0097288A">
        <w:rPr>
          <w:i/>
        </w:rPr>
        <w:t xml:space="preserve"> industry partners make the difference between a surplus and a deficit each year.</w:t>
      </w:r>
    </w:p>
    <w:p w14:paraId="3936DEE1" w14:textId="77777777" w:rsidR="0097288A" w:rsidRDefault="0097288A" w:rsidP="0097288A">
      <w:pPr>
        <w:pStyle w:val="ListParagraph"/>
        <w:numPr>
          <w:ilvl w:val="0"/>
          <w:numId w:val="29"/>
        </w:numPr>
      </w:pPr>
      <w:r>
        <w:t xml:space="preserve">Identify FOIL Champions at each sponsor and TIP to receive the monthly one page bulletin, summarising all FOIL activity. </w:t>
      </w:r>
    </w:p>
    <w:p w14:paraId="091135DC" w14:textId="77777777" w:rsidR="0097288A" w:rsidRPr="0097288A" w:rsidRDefault="0097288A" w:rsidP="0097288A">
      <w:pPr>
        <w:pStyle w:val="ListParagraph"/>
        <w:numPr>
          <w:ilvl w:val="0"/>
          <w:numId w:val="32"/>
        </w:numPr>
        <w:rPr>
          <w:b/>
          <w:i/>
        </w:rPr>
      </w:pPr>
      <w:r>
        <w:t xml:space="preserve">Explore the value to these firms of the additional markets and areas of law in which  FOIL now operates.  </w:t>
      </w:r>
    </w:p>
    <w:p w14:paraId="744BDD69" w14:textId="77777777" w:rsidR="00425FC0" w:rsidRDefault="00425FC0" w:rsidP="00425FC0">
      <w:pPr>
        <w:tabs>
          <w:tab w:val="left" w:pos="1276"/>
        </w:tabs>
        <w:rPr>
          <w:b/>
        </w:rPr>
      </w:pPr>
    </w:p>
    <w:sectPr w:rsidR="00425FC0" w:rsidSect="00C21E8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1E2DB" w14:textId="77777777" w:rsidR="003C4EF9" w:rsidRDefault="003C4EF9" w:rsidP="00441AAC">
      <w:pPr>
        <w:spacing w:after="0" w:line="240" w:lineRule="auto"/>
      </w:pPr>
      <w:r>
        <w:separator/>
      </w:r>
    </w:p>
  </w:endnote>
  <w:endnote w:type="continuationSeparator" w:id="0">
    <w:p w14:paraId="4F77C49D" w14:textId="77777777" w:rsidR="003C4EF9" w:rsidRDefault="003C4EF9" w:rsidP="0044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143195"/>
      <w:docPartObj>
        <w:docPartGallery w:val="Page Numbers (Bottom of Page)"/>
        <w:docPartUnique/>
      </w:docPartObj>
    </w:sdtPr>
    <w:sdtEndPr>
      <w:rPr>
        <w:noProof/>
      </w:rPr>
    </w:sdtEndPr>
    <w:sdtContent>
      <w:p w14:paraId="6AD801BE" w14:textId="77777777" w:rsidR="00AD130F" w:rsidRDefault="00AD130F">
        <w:pPr>
          <w:pStyle w:val="Footer"/>
          <w:jc w:val="right"/>
        </w:pPr>
        <w:r>
          <w:fldChar w:fldCharType="begin"/>
        </w:r>
        <w:r>
          <w:instrText xml:space="preserve"> PAGE   \* MERGEFORMAT </w:instrText>
        </w:r>
        <w:r>
          <w:fldChar w:fldCharType="separate"/>
        </w:r>
        <w:r w:rsidR="00CD184B">
          <w:rPr>
            <w:noProof/>
          </w:rPr>
          <w:t>5</w:t>
        </w:r>
        <w:r>
          <w:rPr>
            <w:noProof/>
          </w:rPr>
          <w:fldChar w:fldCharType="end"/>
        </w:r>
      </w:p>
    </w:sdtContent>
  </w:sdt>
  <w:p w14:paraId="7BC7C643" w14:textId="77777777" w:rsidR="00441AAC" w:rsidRDefault="00441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1A0C7" w14:textId="77777777" w:rsidR="003C4EF9" w:rsidRDefault="003C4EF9" w:rsidP="00441AAC">
      <w:pPr>
        <w:spacing w:after="0" w:line="240" w:lineRule="auto"/>
      </w:pPr>
      <w:r>
        <w:separator/>
      </w:r>
    </w:p>
  </w:footnote>
  <w:footnote w:type="continuationSeparator" w:id="0">
    <w:p w14:paraId="534912A0" w14:textId="77777777" w:rsidR="003C4EF9" w:rsidRDefault="003C4EF9" w:rsidP="00441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2F44"/>
    <w:multiLevelType w:val="hybridMultilevel"/>
    <w:tmpl w:val="FA88E44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5F41E99"/>
    <w:multiLevelType w:val="hybridMultilevel"/>
    <w:tmpl w:val="4400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D2274A"/>
    <w:multiLevelType w:val="hybridMultilevel"/>
    <w:tmpl w:val="E73E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331B0"/>
    <w:multiLevelType w:val="hybridMultilevel"/>
    <w:tmpl w:val="B0729D7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6B30FAC"/>
    <w:multiLevelType w:val="hybridMultilevel"/>
    <w:tmpl w:val="B840F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D276EA"/>
    <w:multiLevelType w:val="hybridMultilevel"/>
    <w:tmpl w:val="6B5ACEF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AEE43F9"/>
    <w:multiLevelType w:val="hybridMultilevel"/>
    <w:tmpl w:val="1EFC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A0F50"/>
    <w:multiLevelType w:val="hybridMultilevel"/>
    <w:tmpl w:val="18409C2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FB1731B"/>
    <w:multiLevelType w:val="hybridMultilevel"/>
    <w:tmpl w:val="39E6B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8040E6"/>
    <w:multiLevelType w:val="hybridMultilevel"/>
    <w:tmpl w:val="D0D408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C6A19C6"/>
    <w:multiLevelType w:val="hybridMultilevel"/>
    <w:tmpl w:val="5284E81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AE004A"/>
    <w:multiLevelType w:val="hybridMultilevel"/>
    <w:tmpl w:val="A074FA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E0453EA"/>
    <w:multiLevelType w:val="hybridMultilevel"/>
    <w:tmpl w:val="FE6AD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845AA7"/>
    <w:multiLevelType w:val="hybridMultilevel"/>
    <w:tmpl w:val="1E809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5566C5"/>
    <w:multiLevelType w:val="hybridMultilevel"/>
    <w:tmpl w:val="A1B87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9678FF"/>
    <w:multiLevelType w:val="hybridMultilevel"/>
    <w:tmpl w:val="CFF0BC9C"/>
    <w:lvl w:ilvl="0" w:tplc="22D25BA8">
      <w:start w:val="1"/>
      <w:numFmt w:val="decimal"/>
      <w:lvlText w:val="%1."/>
      <w:lvlJc w:val="left"/>
      <w:pPr>
        <w:ind w:left="928"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5485F"/>
    <w:multiLevelType w:val="hybridMultilevel"/>
    <w:tmpl w:val="2CAC3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B93842"/>
    <w:multiLevelType w:val="hybridMultilevel"/>
    <w:tmpl w:val="FC04E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E66D8E"/>
    <w:multiLevelType w:val="hybridMultilevel"/>
    <w:tmpl w:val="02FCC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B96D54"/>
    <w:multiLevelType w:val="hybridMultilevel"/>
    <w:tmpl w:val="F2148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9A1EF6"/>
    <w:multiLevelType w:val="hybridMultilevel"/>
    <w:tmpl w:val="D946C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F3257C"/>
    <w:multiLevelType w:val="hybridMultilevel"/>
    <w:tmpl w:val="779E529A"/>
    <w:lvl w:ilvl="0" w:tplc="08090001">
      <w:start w:val="1"/>
      <w:numFmt w:val="bullet"/>
      <w:lvlText w:val=""/>
      <w:lvlJc w:val="left"/>
      <w:pPr>
        <w:ind w:left="2290" w:hanging="360"/>
      </w:pPr>
      <w:rPr>
        <w:rFonts w:ascii="Symbol" w:hAnsi="Symbol" w:hint="default"/>
      </w:rPr>
    </w:lvl>
    <w:lvl w:ilvl="1" w:tplc="08090003" w:tentative="1">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22" w15:restartNumberingAfterBreak="0">
    <w:nsid w:val="591665E9"/>
    <w:multiLevelType w:val="hybridMultilevel"/>
    <w:tmpl w:val="BBB20B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63894047"/>
    <w:multiLevelType w:val="hybridMultilevel"/>
    <w:tmpl w:val="F738E8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DF45A4"/>
    <w:multiLevelType w:val="hybridMultilevel"/>
    <w:tmpl w:val="E1A0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B3D07"/>
    <w:multiLevelType w:val="hybridMultilevel"/>
    <w:tmpl w:val="00B22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53D67A0"/>
    <w:multiLevelType w:val="hybridMultilevel"/>
    <w:tmpl w:val="7110D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545EBA"/>
    <w:multiLevelType w:val="hybridMultilevel"/>
    <w:tmpl w:val="8CA4E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CE4011"/>
    <w:multiLevelType w:val="hybridMultilevel"/>
    <w:tmpl w:val="FAAC376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9" w15:restartNumberingAfterBreak="0">
    <w:nsid w:val="7ABB388F"/>
    <w:multiLevelType w:val="hybridMultilevel"/>
    <w:tmpl w:val="E9C83426"/>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30" w15:restartNumberingAfterBreak="0">
    <w:nsid w:val="7B7C175D"/>
    <w:multiLevelType w:val="hybridMultilevel"/>
    <w:tmpl w:val="E4260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D024CC"/>
    <w:multiLevelType w:val="hybridMultilevel"/>
    <w:tmpl w:val="9D984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21"/>
  </w:num>
  <w:num w:numId="4">
    <w:abstractNumId w:val="2"/>
  </w:num>
  <w:num w:numId="5">
    <w:abstractNumId w:val="15"/>
  </w:num>
  <w:num w:numId="6">
    <w:abstractNumId w:val="12"/>
  </w:num>
  <w:num w:numId="7">
    <w:abstractNumId w:val="13"/>
  </w:num>
  <w:num w:numId="8">
    <w:abstractNumId w:val="9"/>
  </w:num>
  <w:num w:numId="9">
    <w:abstractNumId w:val="26"/>
  </w:num>
  <w:num w:numId="10">
    <w:abstractNumId w:val="4"/>
  </w:num>
  <w:num w:numId="11">
    <w:abstractNumId w:val="0"/>
  </w:num>
  <w:num w:numId="12">
    <w:abstractNumId w:val="11"/>
  </w:num>
  <w:num w:numId="13">
    <w:abstractNumId w:val="24"/>
  </w:num>
  <w:num w:numId="14">
    <w:abstractNumId w:val="22"/>
  </w:num>
  <w:num w:numId="15">
    <w:abstractNumId w:val="3"/>
  </w:num>
  <w:num w:numId="16">
    <w:abstractNumId w:val="5"/>
  </w:num>
  <w:num w:numId="17">
    <w:abstractNumId w:val="16"/>
  </w:num>
  <w:num w:numId="18">
    <w:abstractNumId w:val="20"/>
  </w:num>
  <w:num w:numId="19">
    <w:abstractNumId w:val="31"/>
  </w:num>
  <w:num w:numId="20">
    <w:abstractNumId w:val="14"/>
  </w:num>
  <w:num w:numId="21">
    <w:abstractNumId w:val="17"/>
  </w:num>
  <w:num w:numId="22">
    <w:abstractNumId w:val="19"/>
  </w:num>
  <w:num w:numId="23">
    <w:abstractNumId w:val="30"/>
  </w:num>
  <w:num w:numId="24">
    <w:abstractNumId w:val="8"/>
  </w:num>
  <w:num w:numId="25">
    <w:abstractNumId w:val="23"/>
  </w:num>
  <w:num w:numId="26">
    <w:abstractNumId w:val="10"/>
  </w:num>
  <w:num w:numId="27">
    <w:abstractNumId w:val="18"/>
  </w:num>
  <w:num w:numId="28">
    <w:abstractNumId w:val="25"/>
  </w:num>
  <w:num w:numId="29">
    <w:abstractNumId w:val="1"/>
  </w:num>
  <w:num w:numId="30">
    <w:abstractNumId w:val="27"/>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9A"/>
    <w:rsid w:val="000017EC"/>
    <w:rsid w:val="00021348"/>
    <w:rsid w:val="000A0333"/>
    <w:rsid w:val="000D24E2"/>
    <w:rsid w:val="000E0E0A"/>
    <w:rsid w:val="000E1647"/>
    <w:rsid w:val="000E69CA"/>
    <w:rsid w:val="00102936"/>
    <w:rsid w:val="00121F40"/>
    <w:rsid w:val="00157BBD"/>
    <w:rsid w:val="001665B6"/>
    <w:rsid w:val="0019190C"/>
    <w:rsid w:val="001A66D8"/>
    <w:rsid w:val="001B24A3"/>
    <w:rsid w:val="001B7211"/>
    <w:rsid w:val="001C1860"/>
    <w:rsid w:val="001E2531"/>
    <w:rsid w:val="001F29D2"/>
    <w:rsid w:val="001F56C4"/>
    <w:rsid w:val="00214A7F"/>
    <w:rsid w:val="00283818"/>
    <w:rsid w:val="002E3A01"/>
    <w:rsid w:val="002F1976"/>
    <w:rsid w:val="00315123"/>
    <w:rsid w:val="00345649"/>
    <w:rsid w:val="00363FDF"/>
    <w:rsid w:val="0037494D"/>
    <w:rsid w:val="003903A4"/>
    <w:rsid w:val="003C4EF9"/>
    <w:rsid w:val="003D4475"/>
    <w:rsid w:val="003F3DA3"/>
    <w:rsid w:val="0040368E"/>
    <w:rsid w:val="0042321D"/>
    <w:rsid w:val="00425B22"/>
    <w:rsid w:val="00425FC0"/>
    <w:rsid w:val="004328C9"/>
    <w:rsid w:val="00440C61"/>
    <w:rsid w:val="00441AAC"/>
    <w:rsid w:val="004543BF"/>
    <w:rsid w:val="00466B3B"/>
    <w:rsid w:val="00490816"/>
    <w:rsid w:val="004A6304"/>
    <w:rsid w:val="004B43C5"/>
    <w:rsid w:val="00507F50"/>
    <w:rsid w:val="00520D13"/>
    <w:rsid w:val="00520E17"/>
    <w:rsid w:val="00530253"/>
    <w:rsid w:val="0054496D"/>
    <w:rsid w:val="00583A19"/>
    <w:rsid w:val="00586696"/>
    <w:rsid w:val="00590077"/>
    <w:rsid w:val="0059034B"/>
    <w:rsid w:val="005A2FB7"/>
    <w:rsid w:val="005E3D9B"/>
    <w:rsid w:val="00604435"/>
    <w:rsid w:val="006108D5"/>
    <w:rsid w:val="00644DFB"/>
    <w:rsid w:val="0066090D"/>
    <w:rsid w:val="00696C14"/>
    <w:rsid w:val="006B7D59"/>
    <w:rsid w:val="0071015B"/>
    <w:rsid w:val="00721AA0"/>
    <w:rsid w:val="00731184"/>
    <w:rsid w:val="007715E3"/>
    <w:rsid w:val="007818FC"/>
    <w:rsid w:val="007A05A1"/>
    <w:rsid w:val="007A6CBD"/>
    <w:rsid w:val="007D24C9"/>
    <w:rsid w:val="007D31E0"/>
    <w:rsid w:val="007E6CF9"/>
    <w:rsid w:val="0080413A"/>
    <w:rsid w:val="00866B2D"/>
    <w:rsid w:val="008672E0"/>
    <w:rsid w:val="00870D4E"/>
    <w:rsid w:val="00887253"/>
    <w:rsid w:val="008D5635"/>
    <w:rsid w:val="008D7A37"/>
    <w:rsid w:val="0092257B"/>
    <w:rsid w:val="00931984"/>
    <w:rsid w:val="009327AF"/>
    <w:rsid w:val="009525AE"/>
    <w:rsid w:val="00967D22"/>
    <w:rsid w:val="0097288A"/>
    <w:rsid w:val="009804D1"/>
    <w:rsid w:val="009917AB"/>
    <w:rsid w:val="009A0DA2"/>
    <w:rsid w:val="009A38BF"/>
    <w:rsid w:val="009B28A2"/>
    <w:rsid w:val="009B3E86"/>
    <w:rsid w:val="009B6839"/>
    <w:rsid w:val="009D1707"/>
    <w:rsid w:val="009D4359"/>
    <w:rsid w:val="009D7F03"/>
    <w:rsid w:val="009F4911"/>
    <w:rsid w:val="00A04C84"/>
    <w:rsid w:val="00A53270"/>
    <w:rsid w:val="00A551AD"/>
    <w:rsid w:val="00A575A9"/>
    <w:rsid w:val="00A93AD9"/>
    <w:rsid w:val="00A94AC6"/>
    <w:rsid w:val="00AA5F29"/>
    <w:rsid w:val="00AA6431"/>
    <w:rsid w:val="00AC4E3A"/>
    <w:rsid w:val="00AD130F"/>
    <w:rsid w:val="00AD71D4"/>
    <w:rsid w:val="00AE3B18"/>
    <w:rsid w:val="00AF0D22"/>
    <w:rsid w:val="00AF16CE"/>
    <w:rsid w:val="00B14C69"/>
    <w:rsid w:val="00B14EFE"/>
    <w:rsid w:val="00B252EC"/>
    <w:rsid w:val="00B2630B"/>
    <w:rsid w:val="00B37C85"/>
    <w:rsid w:val="00B51949"/>
    <w:rsid w:val="00B6174E"/>
    <w:rsid w:val="00B64D81"/>
    <w:rsid w:val="00BA112E"/>
    <w:rsid w:val="00BC7155"/>
    <w:rsid w:val="00BC7C30"/>
    <w:rsid w:val="00BD4EEB"/>
    <w:rsid w:val="00BD7037"/>
    <w:rsid w:val="00BE03B7"/>
    <w:rsid w:val="00BE243C"/>
    <w:rsid w:val="00BE67E7"/>
    <w:rsid w:val="00BE7CEF"/>
    <w:rsid w:val="00BF6131"/>
    <w:rsid w:val="00C106E9"/>
    <w:rsid w:val="00C10C2C"/>
    <w:rsid w:val="00C21ABB"/>
    <w:rsid w:val="00C21E8A"/>
    <w:rsid w:val="00C30224"/>
    <w:rsid w:val="00C35266"/>
    <w:rsid w:val="00C3583A"/>
    <w:rsid w:val="00C60686"/>
    <w:rsid w:val="00C76494"/>
    <w:rsid w:val="00C8542C"/>
    <w:rsid w:val="00CD184B"/>
    <w:rsid w:val="00CE139F"/>
    <w:rsid w:val="00CE33EC"/>
    <w:rsid w:val="00CE4A78"/>
    <w:rsid w:val="00CF3072"/>
    <w:rsid w:val="00D077B8"/>
    <w:rsid w:val="00D13715"/>
    <w:rsid w:val="00D374F5"/>
    <w:rsid w:val="00D44F94"/>
    <w:rsid w:val="00D82F2A"/>
    <w:rsid w:val="00D93601"/>
    <w:rsid w:val="00D9464B"/>
    <w:rsid w:val="00D963F5"/>
    <w:rsid w:val="00DB09C1"/>
    <w:rsid w:val="00DD7967"/>
    <w:rsid w:val="00DE5621"/>
    <w:rsid w:val="00DF213F"/>
    <w:rsid w:val="00E020B7"/>
    <w:rsid w:val="00E20CC2"/>
    <w:rsid w:val="00E662F8"/>
    <w:rsid w:val="00E73EA2"/>
    <w:rsid w:val="00EC4ACC"/>
    <w:rsid w:val="00ED1293"/>
    <w:rsid w:val="00EE67FD"/>
    <w:rsid w:val="00EF3DBE"/>
    <w:rsid w:val="00F07408"/>
    <w:rsid w:val="00F352AA"/>
    <w:rsid w:val="00F475B3"/>
    <w:rsid w:val="00F57B00"/>
    <w:rsid w:val="00F60E20"/>
    <w:rsid w:val="00F75714"/>
    <w:rsid w:val="00F80E9A"/>
    <w:rsid w:val="00F93247"/>
    <w:rsid w:val="00F973D2"/>
    <w:rsid w:val="00FB689D"/>
    <w:rsid w:val="00FB7A39"/>
    <w:rsid w:val="00FC2B4D"/>
    <w:rsid w:val="00FE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762C0"/>
  <w15:docId w15:val="{5B1C94FB-5EF9-46C8-871C-29753F01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E9A"/>
    <w:pPr>
      <w:ind w:left="720"/>
      <w:contextualSpacing/>
    </w:pPr>
  </w:style>
  <w:style w:type="paragraph" w:styleId="Header">
    <w:name w:val="header"/>
    <w:basedOn w:val="Normal"/>
    <w:link w:val="HeaderChar"/>
    <w:uiPriority w:val="99"/>
    <w:semiHidden/>
    <w:unhideWhenUsed/>
    <w:rsid w:val="00441A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1AAC"/>
  </w:style>
  <w:style w:type="paragraph" w:styleId="Footer">
    <w:name w:val="footer"/>
    <w:basedOn w:val="Normal"/>
    <w:link w:val="FooterChar"/>
    <w:uiPriority w:val="99"/>
    <w:unhideWhenUsed/>
    <w:rsid w:val="00441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AAC"/>
  </w:style>
  <w:style w:type="character" w:styleId="CommentReference">
    <w:name w:val="annotation reference"/>
    <w:basedOn w:val="DefaultParagraphFont"/>
    <w:uiPriority w:val="99"/>
    <w:semiHidden/>
    <w:unhideWhenUsed/>
    <w:rsid w:val="00EF3DBE"/>
    <w:rPr>
      <w:sz w:val="16"/>
      <w:szCs w:val="16"/>
    </w:rPr>
  </w:style>
  <w:style w:type="paragraph" w:styleId="CommentText">
    <w:name w:val="annotation text"/>
    <w:basedOn w:val="Normal"/>
    <w:link w:val="CommentTextChar"/>
    <w:uiPriority w:val="99"/>
    <w:semiHidden/>
    <w:unhideWhenUsed/>
    <w:rsid w:val="00EF3DBE"/>
    <w:pPr>
      <w:spacing w:line="240" w:lineRule="auto"/>
    </w:pPr>
    <w:rPr>
      <w:sz w:val="20"/>
      <w:szCs w:val="20"/>
    </w:rPr>
  </w:style>
  <w:style w:type="character" w:customStyle="1" w:styleId="CommentTextChar">
    <w:name w:val="Comment Text Char"/>
    <w:basedOn w:val="DefaultParagraphFont"/>
    <w:link w:val="CommentText"/>
    <w:uiPriority w:val="99"/>
    <w:semiHidden/>
    <w:rsid w:val="00EF3DBE"/>
    <w:rPr>
      <w:sz w:val="20"/>
      <w:szCs w:val="20"/>
    </w:rPr>
  </w:style>
  <w:style w:type="paragraph" w:styleId="CommentSubject">
    <w:name w:val="annotation subject"/>
    <w:basedOn w:val="CommentText"/>
    <w:next w:val="CommentText"/>
    <w:link w:val="CommentSubjectChar"/>
    <w:uiPriority w:val="99"/>
    <w:semiHidden/>
    <w:unhideWhenUsed/>
    <w:rsid w:val="00EF3DBE"/>
    <w:rPr>
      <w:b/>
      <w:bCs/>
    </w:rPr>
  </w:style>
  <w:style w:type="character" w:customStyle="1" w:styleId="CommentSubjectChar">
    <w:name w:val="Comment Subject Char"/>
    <w:basedOn w:val="CommentTextChar"/>
    <w:link w:val="CommentSubject"/>
    <w:uiPriority w:val="99"/>
    <w:semiHidden/>
    <w:rsid w:val="00EF3DBE"/>
    <w:rPr>
      <w:b/>
      <w:bCs/>
      <w:sz w:val="20"/>
      <w:szCs w:val="20"/>
    </w:rPr>
  </w:style>
  <w:style w:type="paragraph" w:styleId="BalloonText">
    <w:name w:val="Balloon Text"/>
    <w:basedOn w:val="Normal"/>
    <w:link w:val="BalloonTextChar"/>
    <w:uiPriority w:val="99"/>
    <w:semiHidden/>
    <w:unhideWhenUsed/>
    <w:rsid w:val="00EF3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96A98-5BC2-4EE1-8691-3EF729B9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2019</Words>
  <Characters>11512</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Sarah Higgs</cp:lastModifiedBy>
  <cp:revision>2</cp:revision>
  <cp:lastPrinted>2018-11-12T15:44:00Z</cp:lastPrinted>
  <dcterms:created xsi:type="dcterms:W3CDTF">2019-01-09T14:53:00Z</dcterms:created>
  <dcterms:modified xsi:type="dcterms:W3CDTF">2019-01-09T14:53:00Z</dcterms:modified>
</cp:coreProperties>
</file>